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72659" w14:textId="20FD3969" w:rsidR="00B8709E" w:rsidRPr="00CD7B09"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Century Gothic" w:hAnsi="Century Gothic"/>
          <w:sz w:val="22"/>
          <w:szCs w:val="22"/>
        </w:rPr>
      </w:pPr>
      <w:r w:rsidRPr="00CD7B09">
        <w:rPr>
          <w:rFonts w:ascii="Century Gothic" w:hAnsi="Century Gothic"/>
          <w:sz w:val="22"/>
          <w:szCs w:val="22"/>
        </w:rPr>
        <w:t>Bogot</w:t>
      </w:r>
      <w:r w:rsidRPr="00CD7B09">
        <w:rPr>
          <w:rFonts w:ascii="Century Gothic" w:eastAsia="Helvetica" w:hAnsi="Century Gothic" w:cs="Helvetica"/>
          <w:sz w:val="22"/>
          <w:szCs w:val="22"/>
        </w:rPr>
        <w:t xml:space="preserve">á D.C., </w:t>
      </w:r>
      <w:r w:rsidR="00544E6E" w:rsidRPr="00CD7B09">
        <w:rPr>
          <w:rFonts w:ascii="Century Gothic" w:eastAsia="Helvetica" w:hAnsi="Century Gothic" w:cs="Helvetica"/>
          <w:sz w:val="22"/>
          <w:szCs w:val="22"/>
        </w:rPr>
        <w:t>noviembre</w:t>
      </w:r>
      <w:r w:rsidRPr="00CD7B09">
        <w:rPr>
          <w:rFonts w:ascii="Century Gothic" w:eastAsia="Helvetica" w:hAnsi="Century Gothic" w:cs="Helvetica"/>
          <w:sz w:val="22"/>
          <w:szCs w:val="22"/>
        </w:rPr>
        <w:t xml:space="preserve"> de 2021</w:t>
      </w:r>
    </w:p>
    <w:p w14:paraId="117708F7" w14:textId="77777777" w:rsidR="00B8709E" w:rsidRPr="00CD7B09"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Century Gothic" w:hAnsi="Century Gothic"/>
          <w:sz w:val="22"/>
          <w:szCs w:val="22"/>
        </w:rPr>
      </w:pPr>
    </w:p>
    <w:p w14:paraId="1E9F9D1C" w14:textId="77777777" w:rsidR="00B8709E" w:rsidRPr="00CD7B09"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Century Gothic" w:hAnsi="Century Gothic"/>
          <w:sz w:val="22"/>
          <w:szCs w:val="22"/>
        </w:rPr>
      </w:pPr>
    </w:p>
    <w:p w14:paraId="6C5B098B" w14:textId="77777777" w:rsidR="00B8709E" w:rsidRPr="00CD7B09"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Century Gothic" w:hAnsi="Century Gothic"/>
          <w:sz w:val="22"/>
          <w:szCs w:val="22"/>
        </w:rPr>
      </w:pPr>
    </w:p>
    <w:p w14:paraId="7B8A198C" w14:textId="77777777" w:rsidR="00B8709E" w:rsidRPr="00CD7B09"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Century Gothic" w:hAnsi="Century Gothic"/>
          <w:sz w:val="22"/>
          <w:szCs w:val="22"/>
        </w:rPr>
      </w:pPr>
    </w:p>
    <w:p w14:paraId="7C02FA08" w14:textId="0B07A86F" w:rsidR="00B8709E" w:rsidRPr="00CD7B09" w:rsidRDefault="0041410F" w:rsidP="00E85348">
      <w:pPr>
        <w:ind w:right="49"/>
        <w:rPr>
          <w:rFonts w:ascii="Century Gothic" w:eastAsia="Garamond" w:hAnsi="Century Gothic" w:cs="Garamond"/>
          <w:sz w:val="22"/>
          <w:szCs w:val="22"/>
        </w:rPr>
      </w:pPr>
      <w:r w:rsidRPr="00CD7B09">
        <w:rPr>
          <w:rFonts w:ascii="Century Gothic" w:eastAsia="Garamond" w:hAnsi="Century Gothic" w:cs="Garamond"/>
          <w:sz w:val="22"/>
          <w:szCs w:val="22"/>
        </w:rPr>
        <w:t xml:space="preserve">Honorable </w:t>
      </w:r>
      <w:r w:rsidR="00B8709E" w:rsidRPr="00CD7B09">
        <w:rPr>
          <w:rFonts w:ascii="Century Gothic" w:eastAsia="Garamond" w:hAnsi="Century Gothic" w:cs="Garamond"/>
          <w:sz w:val="22"/>
          <w:szCs w:val="22"/>
        </w:rPr>
        <w:t>Representante</w:t>
      </w:r>
    </w:p>
    <w:p w14:paraId="193EED95" w14:textId="7936FF3A" w:rsidR="00B8709E" w:rsidRPr="00CD7B09" w:rsidRDefault="0041410F" w:rsidP="00E85348">
      <w:pPr>
        <w:ind w:right="49"/>
        <w:rPr>
          <w:rFonts w:ascii="Century Gothic" w:eastAsia="Garamond" w:hAnsi="Century Gothic" w:cs="Garamond"/>
          <w:b/>
          <w:sz w:val="22"/>
          <w:szCs w:val="22"/>
        </w:rPr>
      </w:pPr>
      <w:r w:rsidRPr="00CD7B09">
        <w:rPr>
          <w:rFonts w:ascii="Century Gothic" w:eastAsia="Garamond" w:hAnsi="Century Gothic" w:cs="Garamond"/>
          <w:b/>
          <w:sz w:val="22"/>
          <w:szCs w:val="22"/>
        </w:rPr>
        <w:t>Julio Cesar Triana Quintero</w:t>
      </w:r>
    </w:p>
    <w:p w14:paraId="1E2D3D88" w14:textId="6B27CCC1" w:rsidR="00B8709E" w:rsidRPr="00CD7B09" w:rsidRDefault="00B8709E" w:rsidP="00E85348">
      <w:pPr>
        <w:ind w:right="49"/>
        <w:rPr>
          <w:rFonts w:ascii="Century Gothic" w:eastAsia="Garamond" w:hAnsi="Century Gothic" w:cs="Garamond"/>
          <w:b/>
          <w:sz w:val="22"/>
          <w:szCs w:val="22"/>
        </w:rPr>
      </w:pPr>
      <w:r w:rsidRPr="00CD7B09">
        <w:rPr>
          <w:rFonts w:ascii="Century Gothic" w:eastAsia="Garamond" w:hAnsi="Century Gothic" w:cs="Garamond"/>
          <w:b/>
          <w:sz w:val="22"/>
          <w:szCs w:val="22"/>
        </w:rPr>
        <w:t>Presidente</w:t>
      </w:r>
      <w:r w:rsidR="0041410F" w:rsidRPr="00CD7B09">
        <w:rPr>
          <w:rFonts w:ascii="Century Gothic" w:eastAsia="Garamond" w:hAnsi="Century Gothic" w:cs="Garamond"/>
          <w:b/>
          <w:sz w:val="22"/>
          <w:szCs w:val="22"/>
        </w:rPr>
        <w:t xml:space="preserve"> Comisión Primera</w:t>
      </w:r>
    </w:p>
    <w:p w14:paraId="489E3A0F" w14:textId="77777777" w:rsidR="00B8709E" w:rsidRPr="00CD7B09" w:rsidRDefault="00B8709E" w:rsidP="00E85348">
      <w:pPr>
        <w:ind w:right="49"/>
        <w:rPr>
          <w:rFonts w:ascii="Century Gothic" w:eastAsia="Garamond" w:hAnsi="Century Gothic" w:cs="Garamond"/>
          <w:sz w:val="22"/>
          <w:szCs w:val="22"/>
        </w:rPr>
      </w:pPr>
      <w:r w:rsidRPr="00CD7B09">
        <w:rPr>
          <w:rFonts w:ascii="Century Gothic" w:eastAsia="Garamond" w:hAnsi="Century Gothic" w:cs="Garamond"/>
          <w:sz w:val="22"/>
          <w:szCs w:val="22"/>
        </w:rPr>
        <w:t>Cámara de Representantes</w:t>
      </w:r>
    </w:p>
    <w:p w14:paraId="79263F5E" w14:textId="77777777" w:rsidR="00B8709E" w:rsidRPr="00CD7B09"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Century Gothic" w:hAnsi="Century Gothic"/>
          <w:sz w:val="22"/>
          <w:szCs w:val="22"/>
        </w:rPr>
      </w:pPr>
    </w:p>
    <w:p w14:paraId="4B59E4E5" w14:textId="77777777" w:rsidR="00B8709E" w:rsidRPr="00CD7B09"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Century Gothic" w:hAnsi="Century Gothic"/>
          <w:sz w:val="22"/>
          <w:szCs w:val="22"/>
        </w:rPr>
      </w:pPr>
    </w:p>
    <w:p w14:paraId="52AF06D2" w14:textId="48033F00" w:rsidR="00B8709E" w:rsidRPr="00CD7B09"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right"/>
        <w:rPr>
          <w:rFonts w:ascii="Century Gothic" w:hAnsi="Century Gothic"/>
          <w:sz w:val="22"/>
          <w:szCs w:val="22"/>
        </w:rPr>
      </w:pPr>
      <w:r w:rsidRPr="00CD7B09">
        <w:rPr>
          <w:rFonts w:ascii="Century Gothic" w:hAnsi="Century Gothic"/>
          <w:b/>
          <w:sz w:val="22"/>
          <w:szCs w:val="22"/>
        </w:rPr>
        <w:t xml:space="preserve">Asunto: </w:t>
      </w:r>
      <w:r w:rsidRPr="00CD7B09">
        <w:rPr>
          <w:rFonts w:ascii="Century Gothic" w:hAnsi="Century Gothic"/>
          <w:sz w:val="22"/>
          <w:szCs w:val="22"/>
        </w:rPr>
        <w:t xml:space="preserve">Informe de ponencia para </w:t>
      </w:r>
      <w:r w:rsidR="00544E6E" w:rsidRPr="00CD7B09">
        <w:rPr>
          <w:rFonts w:ascii="Century Gothic" w:hAnsi="Century Gothic"/>
          <w:sz w:val="22"/>
          <w:szCs w:val="22"/>
        </w:rPr>
        <w:t>segundo</w:t>
      </w:r>
      <w:r w:rsidRPr="00CD7B09">
        <w:rPr>
          <w:rFonts w:ascii="Century Gothic" w:hAnsi="Century Gothic"/>
          <w:sz w:val="22"/>
          <w:szCs w:val="22"/>
        </w:rPr>
        <w:t xml:space="preserve"> debate PLE 143 de 2021 CAMARA</w:t>
      </w:r>
    </w:p>
    <w:p w14:paraId="1FA59A21" w14:textId="77777777" w:rsidR="00B8709E" w:rsidRPr="00CD7B09"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right"/>
        <w:rPr>
          <w:rFonts w:ascii="Century Gothic" w:hAnsi="Century Gothic"/>
          <w:sz w:val="22"/>
          <w:szCs w:val="22"/>
        </w:rPr>
      </w:pPr>
      <w:r w:rsidRPr="00CD7B09">
        <w:rPr>
          <w:rFonts w:ascii="Century Gothic" w:hAnsi="Century Gothic"/>
          <w:sz w:val="22"/>
          <w:szCs w:val="22"/>
        </w:rPr>
        <w:t xml:space="preserve"> </w:t>
      </w:r>
      <w:r w:rsidRPr="00CD7B09">
        <w:rPr>
          <w:rFonts w:ascii="Century Gothic" w:eastAsia="Helvetica" w:hAnsi="Century Gothic" w:cs="Helvetica"/>
          <w:sz w:val="22"/>
          <w:szCs w:val="22"/>
        </w:rPr>
        <w:t>“Por la cual se crea una especialidad judicial agraria y rural, se establecen los mecanismos para la resolución de controversias y litigios agrarios y rurales y se dictan ot</w:t>
      </w:r>
      <w:r w:rsidRPr="00CD7B09">
        <w:rPr>
          <w:rFonts w:ascii="Century Gothic" w:hAnsi="Century Gothic"/>
          <w:sz w:val="22"/>
          <w:szCs w:val="22"/>
        </w:rPr>
        <w:t>ras disposiciones</w:t>
      </w:r>
      <w:r w:rsidRPr="00CD7B09">
        <w:rPr>
          <w:rFonts w:ascii="Century Gothic" w:eastAsia="Helvetica" w:hAnsi="Century Gothic" w:cs="Helvetica"/>
          <w:sz w:val="22"/>
          <w:szCs w:val="22"/>
        </w:rPr>
        <w:t>” </w:t>
      </w:r>
    </w:p>
    <w:p w14:paraId="2F16B6C9" w14:textId="77777777" w:rsidR="00B8709E" w:rsidRPr="00CD7B09"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Century Gothic" w:hAnsi="Century Gothic"/>
          <w:sz w:val="22"/>
          <w:szCs w:val="22"/>
        </w:rPr>
      </w:pPr>
    </w:p>
    <w:p w14:paraId="17B0ADFC" w14:textId="77777777" w:rsidR="00E85348" w:rsidRPr="00CD7B09" w:rsidRDefault="00E85348"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Century Gothic" w:hAnsi="Century Gothic"/>
          <w:sz w:val="22"/>
          <w:szCs w:val="22"/>
        </w:rPr>
      </w:pPr>
    </w:p>
    <w:p w14:paraId="156F0BD9" w14:textId="683683E2" w:rsidR="00B8709E" w:rsidRPr="00CD7B09" w:rsidRDefault="0041410F"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Century Gothic" w:hAnsi="Century Gothic"/>
          <w:sz w:val="22"/>
          <w:szCs w:val="22"/>
        </w:rPr>
      </w:pPr>
      <w:r w:rsidRPr="00CD7B09">
        <w:rPr>
          <w:rFonts w:ascii="Century Gothic" w:hAnsi="Century Gothic"/>
          <w:sz w:val="22"/>
          <w:szCs w:val="22"/>
        </w:rPr>
        <w:t>Respetado Presidente</w:t>
      </w:r>
      <w:r w:rsidR="00B8709E" w:rsidRPr="00CD7B09">
        <w:rPr>
          <w:rFonts w:ascii="Century Gothic" w:hAnsi="Century Gothic"/>
          <w:sz w:val="22"/>
          <w:szCs w:val="22"/>
        </w:rPr>
        <w:t>,</w:t>
      </w:r>
    </w:p>
    <w:p w14:paraId="700F6467" w14:textId="77777777" w:rsidR="00E85348" w:rsidRPr="00CD7B09" w:rsidRDefault="00E85348"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Century Gothic" w:hAnsi="Century Gothic"/>
          <w:sz w:val="22"/>
          <w:szCs w:val="22"/>
        </w:rPr>
      </w:pPr>
    </w:p>
    <w:p w14:paraId="66ECEADA" w14:textId="77777777" w:rsidR="00544E6E" w:rsidRPr="00CD7B09" w:rsidRDefault="00544E6E" w:rsidP="00544E6E">
      <w:pPr>
        <w:jc w:val="both"/>
        <w:rPr>
          <w:rFonts w:ascii="Century Gothic" w:hAnsi="Century Gothic"/>
          <w:sz w:val="22"/>
          <w:szCs w:val="22"/>
        </w:rPr>
      </w:pPr>
    </w:p>
    <w:p w14:paraId="35A31DAF" w14:textId="6C21EF77" w:rsidR="00B8709E" w:rsidRPr="00CD7B09" w:rsidRDefault="00544E6E" w:rsidP="00544E6E">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Century Gothic" w:hAnsi="Century Gothic"/>
          <w:sz w:val="22"/>
          <w:szCs w:val="22"/>
        </w:rPr>
      </w:pPr>
      <w:r w:rsidRPr="00CD7B09">
        <w:rPr>
          <w:rFonts w:ascii="Century Gothic" w:hAnsi="Century Gothic"/>
          <w:sz w:val="22"/>
          <w:szCs w:val="22"/>
        </w:rPr>
        <w:t>En cumplimiento de la designaci</w:t>
      </w:r>
      <w:r w:rsidRPr="00CD7B09">
        <w:rPr>
          <w:rFonts w:ascii="Century Gothic" w:eastAsia="Helvetica" w:hAnsi="Century Gothic" w:cs="Helvetica"/>
          <w:sz w:val="22"/>
          <w:szCs w:val="22"/>
        </w:rPr>
        <w:t>ón hecha por la Mesa Directiva de la Comisión Primera Constitucional de la Cámara de Repres</w:t>
      </w:r>
      <w:r w:rsidRPr="00CD7B09">
        <w:rPr>
          <w:rFonts w:ascii="Century Gothic" w:eastAsia="Helvetica" w:hAnsi="Century Gothic"/>
          <w:sz w:val="22"/>
          <w:szCs w:val="22"/>
        </w:rPr>
        <w:t>entantes y de acuerdo con las disposiciones contenidas en la Ley 5</w:t>
      </w:r>
      <w:r w:rsidRPr="00CD7B09">
        <w:rPr>
          <w:rFonts w:ascii="Century Gothic" w:eastAsia="Helvetica" w:hAnsi="Century Gothic" w:cs="Helvetica"/>
          <w:sz w:val="22"/>
          <w:szCs w:val="22"/>
        </w:rPr>
        <w:t>ª de 1992, nos permitimos</w:t>
      </w:r>
      <w:r w:rsidR="00B8709E" w:rsidRPr="00CD7B09">
        <w:rPr>
          <w:rFonts w:ascii="Century Gothic" w:eastAsia="Helvetica" w:hAnsi="Century Gothic" w:cs="Helvetica"/>
          <w:sz w:val="22"/>
          <w:szCs w:val="22"/>
        </w:rPr>
        <w:t xml:space="preserve"> rendir ponencia POSITIVA para </w:t>
      </w:r>
      <w:r w:rsidR="00197309" w:rsidRPr="00CD7B09">
        <w:rPr>
          <w:rFonts w:ascii="Century Gothic" w:eastAsia="Helvetica" w:hAnsi="Century Gothic" w:cs="Helvetica"/>
          <w:sz w:val="22"/>
          <w:szCs w:val="22"/>
        </w:rPr>
        <w:t>primer</w:t>
      </w:r>
      <w:r w:rsidR="00B8709E" w:rsidRPr="00CD7B09">
        <w:rPr>
          <w:rFonts w:ascii="Century Gothic" w:eastAsia="Helvetica" w:hAnsi="Century Gothic" w:cs="Helvetica"/>
          <w:sz w:val="22"/>
          <w:szCs w:val="22"/>
        </w:rPr>
        <w:t xml:space="preserve"> debate en </w:t>
      </w:r>
      <w:r w:rsidR="00197309" w:rsidRPr="00CD7B09">
        <w:rPr>
          <w:rFonts w:ascii="Century Gothic" w:eastAsia="Helvetica" w:hAnsi="Century Gothic" w:cs="Helvetica"/>
          <w:sz w:val="22"/>
          <w:szCs w:val="22"/>
        </w:rPr>
        <w:t>la Cámara de Representantes</w:t>
      </w:r>
      <w:r w:rsidR="00B8709E" w:rsidRPr="00CD7B09">
        <w:rPr>
          <w:rFonts w:ascii="Century Gothic" w:eastAsia="Helvetica" w:hAnsi="Century Gothic" w:cs="Helvetica"/>
          <w:sz w:val="22"/>
          <w:szCs w:val="22"/>
        </w:rPr>
        <w:t xml:space="preserve"> del proyecto d</w:t>
      </w:r>
      <w:r w:rsidR="00B8709E" w:rsidRPr="00CD7B09">
        <w:rPr>
          <w:rFonts w:ascii="Century Gothic" w:hAnsi="Century Gothic"/>
          <w:sz w:val="22"/>
          <w:szCs w:val="22"/>
        </w:rPr>
        <w:t>e ley estatutaria del asunto.</w:t>
      </w:r>
    </w:p>
    <w:p w14:paraId="39C8BA5C" w14:textId="77777777" w:rsidR="0041410F" w:rsidRPr="00CD7B09" w:rsidRDefault="0041410F"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Century Gothic" w:hAnsi="Century Gothic"/>
          <w:sz w:val="22"/>
          <w:szCs w:val="22"/>
        </w:rPr>
      </w:pPr>
    </w:p>
    <w:p w14:paraId="64A233E9" w14:textId="77777777" w:rsidR="0041410F" w:rsidRPr="00CD7B09" w:rsidRDefault="0041410F"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Century Gothic" w:hAnsi="Century Gothic"/>
          <w:sz w:val="22"/>
          <w:szCs w:val="22"/>
        </w:rPr>
      </w:pPr>
    </w:p>
    <w:p w14:paraId="6D5CD110" w14:textId="77777777" w:rsidR="00B8709E" w:rsidRPr="00CD7B09"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Century Gothic" w:hAnsi="Century Gothic"/>
          <w:sz w:val="22"/>
          <w:szCs w:val="22"/>
        </w:rPr>
      </w:pPr>
      <w:r w:rsidRPr="00CD7B09">
        <w:rPr>
          <w:rFonts w:ascii="Century Gothic" w:hAnsi="Century Gothic"/>
          <w:sz w:val="22"/>
          <w:szCs w:val="22"/>
        </w:rPr>
        <w:t>Cordialmente,</w:t>
      </w:r>
    </w:p>
    <w:p w14:paraId="1CCD436F" w14:textId="77777777" w:rsidR="00B8709E" w:rsidRPr="00CD7B09"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Century Gothic" w:hAnsi="Century Gothic"/>
          <w:sz w:val="22"/>
          <w:szCs w:val="22"/>
        </w:rPr>
      </w:pPr>
    </w:p>
    <w:p w14:paraId="09A0AD1A" w14:textId="77777777" w:rsidR="003756B1" w:rsidRPr="00CD7B09" w:rsidRDefault="003756B1" w:rsidP="00E85348">
      <w:pPr>
        <w:rPr>
          <w:rFonts w:ascii="Century Gothic" w:hAnsi="Century Gothic"/>
          <w:sz w:val="22"/>
          <w:szCs w:val="22"/>
        </w:rPr>
      </w:pPr>
    </w:p>
    <w:p w14:paraId="3F141049" w14:textId="77777777" w:rsidR="0041410F" w:rsidRPr="00CD7B09" w:rsidRDefault="0041410F" w:rsidP="00E85348">
      <w:pPr>
        <w:rPr>
          <w:rFonts w:ascii="Century Gothic" w:hAnsi="Century Gothic"/>
          <w:sz w:val="22"/>
          <w:szCs w:val="22"/>
        </w:rPr>
      </w:pPr>
    </w:p>
    <w:tbl>
      <w:tblPr>
        <w:tblStyle w:val="Tablaconcuadrcula"/>
        <w:tblW w:w="0" w:type="auto"/>
        <w:tblLook w:val="04A0" w:firstRow="1" w:lastRow="0" w:firstColumn="1" w:lastColumn="0" w:noHBand="0" w:noVBand="1"/>
      </w:tblPr>
      <w:tblGrid>
        <w:gridCol w:w="4414"/>
        <w:gridCol w:w="4414"/>
      </w:tblGrid>
      <w:tr w:rsidR="00CD7B09" w:rsidRPr="00CD7B09" w14:paraId="6DB82259" w14:textId="77777777" w:rsidTr="009F0165">
        <w:tc>
          <w:tcPr>
            <w:tcW w:w="44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4E88FA" w14:textId="77777777" w:rsidR="00544E6E" w:rsidRPr="00CD7B09" w:rsidRDefault="00544E6E" w:rsidP="009F0165">
            <w:pPr>
              <w:rPr>
                <w:rFonts w:ascii="Century Gothic" w:hAnsi="Century Gothic"/>
                <w:b/>
                <w:sz w:val="22"/>
                <w:szCs w:val="22"/>
              </w:rPr>
            </w:pPr>
            <w:r w:rsidRPr="00CD7B09">
              <w:rPr>
                <w:rFonts w:ascii="Century Gothic" w:hAnsi="Century Gothic"/>
                <w:b/>
                <w:sz w:val="22"/>
                <w:szCs w:val="22"/>
              </w:rPr>
              <w:t>Juanita Goebertus Estrada</w:t>
            </w:r>
          </w:p>
          <w:p w14:paraId="05E9CB9F" w14:textId="77777777" w:rsidR="00544E6E" w:rsidRPr="00CD7B09" w:rsidRDefault="00544E6E" w:rsidP="009F0165">
            <w:pPr>
              <w:rPr>
                <w:rFonts w:ascii="Century Gothic" w:hAnsi="Century Gothic"/>
                <w:sz w:val="22"/>
                <w:szCs w:val="22"/>
              </w:rPr>
            </w:pPr>
            <w:r w:rsidRPr="00CD7B09">
              <w:rPr>
                <w:rFonts w:ascii="Century Gothic" w:hAnsi="Century Gothic"/>
                <w:sz w:val="22"/>
                <w:szCs w:val="22"/>
              </w:rPr>
              <w:t xml:space="preserve">Representante a la Cámara por Bogotá </w:t>
            </w:r>
          </w:p>
        </w:tc>
        <w:tc>
          <w:tcPr>
            <w:tcW w:w="44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353C58" w14:textId="77777777" w:rsidR="00544E6E" w:rsidRPr="00CD7B09" w:rsidRDefault="00544E6E" w:rsidP="009F0165">
            <w:pPr>
              <w:rPr>
                <w:rFonts w:ascii="Century Gothic" w:hAnsi="Century Gothic"/>
                <w:b/>
                <w:sz w:val="22"/>
                <w:szCs w:val="22"/>
              </w:rPr>
            </w:pPr>
            <w:r w:rsidRPr="00CD7B09">
              <w:rPr>
                <w:rFonts w:ascii="Century Gothic" w:hAnsi="Century Gothic"/>
                <w:b/>
                <w:sz w:val="22"/>
                <w:szCs w:val="22"/>
              </w:rPr>
              <w:t>Adriana Magali Matiz Vargas</w:t>
            </w:r>
          </w:p>
          <w:p w14:paraId="1658F4E8" w14:textId="77777777" w:rsidR="00544E6E" w:rsidRPr="00CD7B09" w:rsidRDefault="00544E6E" w:rsidP="009F0165">
            <w:pPr>
              <w:rPr>
                <w:rFonts w:ascii="Century Gothic" w:hAnsi="Century Gothic"/>
                <w:sz w:val="22"/>
                <w:szCs w:val="22"/>
              </w:rPr>
            </w:pPr>
            <w:r w:rsidRPr="00CD7B09">
              <w:rPr>
                <w:rFonts w:ascii="Century Gothic" w:hAnsi="Century Gothic"/>
                <w:sz w:val="22"/>
                <w:szCs w:val="22"/>
              </w:rPr>
              <w:t>Representante a la Cámara por Tolima</w:t>
            </w:r>
          </w:p>
        </w:tc>
      </w:tr>
      <w:tr w:rsidR="00CD7B09" w:rsidRPr="00CD7B09" w14:paraId="13AAAC53" w14:textId="77777777" w:rsidTr="009F0165">
        <w:tc>
          <w:tcPr>
            <w:tcW w:w="44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0AA7C4" w14:textId="77777777" w:rsidR="00544E6E" w:rsidRPr="00CD7B09" w:rsidRDefault="00544E6E" w:rsidP="009F0165">
            <w:pPr>
              <w:rPr>
                <w:rFonts w:ascii="Century Gothic" w:hAnsi="Century Gothic"/>
                <w:sz w:val="22"/>
                <w:szCs w:val="22"/>
              </w:rPr>
            </w:pPr>
          </w:p>
          <w:p w14:paraId="4FD2F8B9" w14:textId="77777777" w:rsidR="00544E6E" w:rsidRPr="00CD7B09" w:rsidRDefault="00544E6E" w:rsidP="009F0165">
            <w:pPr>
              <w:rPr>
                <w:rFonts w:ascii="Century Gothic" w:hAnsi="Century Gothic"/>
                <w:sz w:val="22"/>
                <w:szCs w:val="22"/>
              </w:rPr>
            </w:pPr>
          </w:p>
          <w:p w14:paraId="6B9CA7F9" w14:textId="77777777" w:rsidR="00544E6E" w:rsidRPr="00CD7B09" w:rsidRDefault="00544E6E" w:rsidP="009F0165">
            <w:pPr>
              <w:rPr>
                <w:rFonts w:ascii="Century Gothic" w:hAnsi="Century Gothic"/>
                <w:sz w:val="22"/>
                <w:szCs w:val="22"/>
              </w:rPr>
            </w:pPr>
          </w:p>
          <w:p w14:paraId="73E4E255" w14:textId="77777777" w:rsidR="00544E6E" w:rsidRPr="00CD7B09" w:rsidRDefault="00544E6E" w:rsidP="009F0165">
            <w:pPr>
              <w:rPr>
                <w:rFonts w:ascii="Century Gothic" w:hAnsi="Century Gothic"/>
                <w:b/>
                <w:sz w:val="22"/>
                <w:szCs w:val="22"/>
              </w:rPr>
            </w:pPr>
            <w:r w:rsidRPr="00CD7B09">
              <w:rPr>
                <w:rFonts w:ascii="Century Gothic" w:hAnsi="Century Gothic"/>
                <w:b/>
                <w:sz w:val="22"/>
                <w:szCs w:val="22"/>
              </w:rPr>
              <w:t>Cesar Augusto Lorduy Maldonado</w:t>
            </w:r>
          </w:p>
          <w:p w14:paraId="2ECBBFDB" w14:textId="77777777" w:rsidR="00544E6E" w:rsidRPr="00CD7B09" w:rsidRDefault="00544E6E" w:rsidP="009F0165">
            <w:pPr>
              <w:rPr>
                <w:rFonts w:ascii="Century Gothic" w:hAnsi="Century Gothic"/>
                <w:sz w:val="22"/>
                <w:szCs w:val="22"/>
              </w:rPr>
            </w:pPr>
            <w:r w:rsidRPr="00CD7B09">
              <w:rPr>
                <w:rFonts w:ascii="Century Gothic" w:hAnsi="Century Gothic"/>
                <w:sz w:val="22"/>
                <w:szCs w:val="22"/>
              </w:rPr>
              <w:t>Representante a la Cámara por Atlántico</w:t>
            </w:r>
          </w:p>
        </w:tc>
        <w:tc>
          <w:tcPr>
            <w:tcW w:w="44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8BFA77" w14:textId="77777777" w:rsidR="00544E6E" w:rsidRPr="00CD7B09" w:rsidRDefault="00544E6E" w:rsidP="009F0165">
            <w:pPr>
              <w:rPr>
                <w:rFonts w:ascii="Century Gothic" w:hAnsi="Century Gothic"/>
                <w:sz w:val="22"/>
                <w:szCs w:val="22"/>
              </w:rPr>
            </w:pPr>
          </w:p>
          <w:p w14:paraId="6A149320" w14:textId="77777777" w:rsidR="00544E6E" w:rsidRPr="00CD7B09" w:rsidRDefault="00544E6E" w:rsidP="009F0165">
            <w:pPr>
              <w:rPr>
                <w:rFonts w:ascii="Century Gothic" w:hAnsi="Century Gothic"/>
                <w:sz w:val="22"/>
                <w:szCs w:val="22"/>
              </w:rPr>
            </w:pPr>
          </w:p>
          <w:p w14:paraId="325D220B" w14:textId="77777777" w:rsidR="00544E6E" w:rsidRPr="00CD7B09" w:rsidRDefault="00544E6E" w:rsidP="009F0165">
            <w:pPr>
              <w:rPr>
                <w:rFonts w:ascii="Century Gothic" w:hAnsi="Century Gothic"/>
                <w:sz w:val="22"/>
                <w:szCs w:val="22"/>
              </w:rPr>
            </w:pPr>
          </w:p>
          <w:p w14:paraId="39EFDDA8" w14:textId="77777777" w:rsidR="00544E6E" w:rsidRPr="00CD7B09" w:rsidRDefault="00544E6E" w:rsidP="009F0165">
            <w:pPr>
              <w:rPr>
                <w:rFonts w:ascii="Century Gothic" w:hAnsi="Century Gothic"/>
                <w:b/>
                <w:sz w:val="22"/>
                <w:szCs w:val="22"/>
              </w:rPr>
            </w:pPr>
            <w:r w:rsidRPr="00CD7B09">
              <w:rPr>
                <w:rFonts w:ascii="Century Gothic" w:hAnsi="Century Gothic"/>
                <w:b/>
                <w:sz w:val="22"/>
                <w:szCs w:val="22"/>
              </w:rPr>
              <w:t>Gabriel Jaime Vallejo Chujfi</w:t>
            </w:r>
          </w:p>
          <w:p w14:paraId="421751D2" w14:textId="77777777" w:rsidR="00544E6E" w:rsidRPr="00CD7B09" w:rsidRDefault="00544E6E" w:rsidP="009F0165">
            <w:pPr>
              <w:rPr>
                <w:rFonts w:ascii="Century Gothic" w:hAnsi="Century Gothic"/>
                <w:sz w:val="22"/>
                <w:szCs w:val="22"/>
              </w:rPr>
            </w:pPr>
            <w:r w:rsidRPr="00CD7B09">
              <w:rPr>
                <w:rFonts w:ascii="Century Gothic" w:hAnsi="Century Gothic"/>
                <w:sz w:val="22"/>
                <w:szCs w:val="22"/>
              </w:rPr>
              <w:t>Representante a la Cámara por Risaralda</w:t>
            </w:r>
          </w:p>
        </w:tc>
      </w:tr>
      <w:tr w:rsidR="00CD7B09" w:rsidRPr="00CD7B09" w14:paraId="5AA41860" w14:textId="77777777" w:rsidTr="009F0165">
        <w:tc>
          <w:tcPr>
            <w:tcW w:w="44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A1A720" w14:textId="77777777" w:rsidR="00544E6E" w:rsidRPr="00CD7B09" w:rsidRDefault="00544E6E" w:rsidP="009F0165">
            <w:pPr>
              <w:rPr>
                <w:rFonts w:ascii="Century Gothic" w:hAnsi="Century Gothic"/>
                <w:sz w:val="22"/>
                <w:szCs w:val="22"/>
              </w:rPr>
            </w:pPr>
          </w:p>
          <w:p w14:paraId="75952839" w14:textId="77777777" w:rsidR="00544E6E" w:rsidRPr="00CD7B09" w:rsidRDefault="00544E6E" w:rsidP="009F0165">
            <w:pPr>
              <w:rPr>
                <w:rFonts w:ascii="Century Gothic" w:hAnsi="Century Gothic"/>
                <w:sz w:val="22"/>
                <w:szCs w:val="22"/>
              </w:rPr>
            </w:pPr>
          </w:p>
          <w:p w14:paraId="76351C59" w14:textId="77777777" w:rsidR="00544E6E" w:rsidRPr="00CD7B09" w:rsidRDefault="00544E6E" w:rsidP="009F0165">
            <w:pPr>
              <w:rPr>
                <w:rFonts w:ascii="Century Gothic" w:hAnsi="Century Gothic"/>
                <w:sz w:val="22"/>
                <w:szCs w:val="22"/>
              </w:rPr>
            </w:pPr>
          </w:p>
          <w:p w14:paraId="6E8D7618" w14:textId="77777777" w:rsidR="00544E6E" w:rsidRPr="00CD7B09" w:rsidRDefault="00544E6E" w:rsidP="009F0165">
            <w:pPr>
              <w:rPr>
                <w:rFonts w:ascii="Century Gothic" w:hAnsi="Century Gothic"/>
                <w:b/>
                <w:sz w:val="22"/>
                <w:szCs w:val="22"/>
              </w:rPr>
            </w:pPr>
            <w:r w:rsidRPr="00CD7B09">
              <w:rPr>
                <w:rFonts w:ascii="Century Gothic" w:hAnsi="Century Gothic"/>
                <w:b/>
                <w:sz w:val="22"/>
                <w:szCs w:val="22"/>
              </w:rPr>
              <w:t>Juan Carlos Lozada Vargas</w:t>
            </w:r>
          </w:p>
          <w:p w14:paraId="43F868FC" w14:textId="77777777" w:rsidR="00544E6E" w:rsidRPr="00CD7B09" w:rsidRDefault="00544E6E" w:rsidP="009F0165">
            <w:pPr>
              <w:rPr>
                <w:rFonts w:ascii="Century Gothic" w:hAnsi="Century Gothic"/>
                <w:sz w:val="22"/>
                <w:szCs w:val="22"/>
              </w:rPr>
            </w:pPr>
            <w:r w:rsidRPr="00CD7B09">
              <w:rPr>
                <w:rFonts w:ascii="Century Gothic" w:hAnsi="Century Gothic"/>
                <w:sz w:val="22"/>
                <w:szCs w:val="22"/>
              </w:rPr>
              <w:t>Representante a la Cámara por Bogotá</w:t>
            </w:r>
          </w:p>
        </w:tc>
        <w:tc>
          <w:tcPr>
            <w:tcW w:w="44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0658A" w14:textId="77777777" w:rsidR="00544E6E" w:rsidRPr="00CD7B09" w:rsidRDefault="00544E6E" w:rsidP="009F0165">
            <w:pPr>
              <w:rPr>
                <w:rFonts w:ascii="Century Gothic" w:hAnsi="Century Gothic"/>
                <w:sz w:val="22"/>
                <w:szCs w:val="22"/>
              </w:rPr>
            </w:pPr>
          </w:p>
        </w:tc>
      </w:tr>
    </w:tbl>
    <w:p w14:paraId="74AE1A68" w14:textId="6CECAB5A" w:rsidR="000C78B1" w:rsidRPr="00CD7B09" w:rsidRDefault="000C78B1" w:rsidP="00E85348">
      <w:pPr>
        <w:rPr>
          <w:rFonts w:ascii="Century Gothic" w:hAnsi="Century Gothic"/>
          <w:sz w:val="22"/>
          <w:szCs w:val="22"/>
        </w:rPr>
      </w:pPr>
      <w:r w:rsidRPr="00CD7B09">
        <w:rPr>
          <w:rFonts w:ascii="Century Gothic" w:hAnsi="Century Gothic"/>
          <w:sz w:val="22"/>
          <w:szCs w:val="22"/>
        </w:rPr>
        <w:br w:type="page"/>
      </w:r>
    </w:p>
    <w:p w14:paraId="5637F04E" w14:textId="2B477D65" w:rsidR="000C78B1" w:rsidRPr="00CD7B09" w:rsidRDefault="000C78B1"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Fonts w:ascii="Century Gothic" w:eastAsia="Helvetica" w:hAnsi="Century Gothic" w:cs="Helvetica"/>
          <w:b/>
          <w:sz w:val="22"/>
          <w:szCs w:val="22"/>
        </w:rPr>
      </w:pPr>
      <w:r w:rsidRPr="00CD7B09">
        <w:rPr>
          <w:rFonts w:ascii="Century Gothic" w:hAnsi="Century Gothic"/>
          <w:b/>
          <w:sz w:val="22"/>
          <w:szCs w:val="22"/>
        </w:rPr>
        <w:lastRenderedPageBreak/>
        <w:t xml:space="preserve">INFORME DE PONENCIA POSITIVA PARA </w:t>
      </w:r>
      <w:r w:rsidR="00544E6E" w:rsidRPr="00CD7B09">
        <w:rPr>
          <w:rFonts w:ascii="Century Gothic" w:hAnsi="Century Gothic"/>
          <w:b/>
          <w:sz w:val="22"/>
          <w:szCs w:val="22"/>
        </w:rPr>
        <w:t>SEGUNDO</w:t>
      </w:r>
      <w:r w:rsidR="00E85348" w:rsidRPr="00CD7B09">
        <w:rPr>
          <w:rFonts w:ascii="Century Gothic" w:hAnsi="Century Gothic"/>
          <w:b/>
          <w:sz w:val="22"/>
          <w:szCs w:val="22"/>
        </w:rPr>
        <w:t xml:space="preserve"> </w:t>
      </w:r>
      <w:r w:rsidRPr="00CD7B09">
        <w:rPr>
          <w:rFonts w:ascii="Century Gothic" w:hAnsi="Century Gothic"/>
          <w:b/>
          <w:sz w:val="22"/>
          <w:szCs w:val="22"/>
        </w:rPr>
        <w:t xml:space="preserve">DEBATE EN LA </w:t>
      </w:r>
      <w:r w:rsidR="00544E6E" w:rsidRPr="00CD7B09">
        <w:rPr>
          <w:rFonts w:ascii="Century Gothic" w:hAnsi="Century Gothic"/>
          <w:b/>
          <w:sz w:val="22"/>
          <w:szCs w:val="22"/>
        </w:rPr>
        <w:t xml:space="preserve">PLENARIA </w:t>
      </w:r>
      <w:r w:rsidR="00CB7C86" w:rsidRPr="00CD7B09">
        <w:rPr>
          <w:rFonts w:ascii="Century Gothic" w:eastAsia="Helvetica" w:hAnsi="Century Gothic" w:cs="Helvetica"/>
          <w:b/>
          <w:sz w:val="22"/>
          <w:szCs w:val="22"/>
        </w:rPr>
        <w:t>DE LA CÁMARA DE REPRESENTANTES</w:t>
      </w:r>
    </w:p>
    <w:p w14:paraId="2BFCAE1F" w14:textId="77777777" w:rsidR="00E85348" w:rsidRPr="00CD7B09" w:rsidRDefault="00E85348"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Fonts w:ascii="Century Gothic" w:eastAsia="Helvetica" w:hAnsi="Century Gothic" w:cs="Helvetica"/>
          <w:b/>
          <w:sz w:val="22"/>
          <w:szCs w:val="22"/>
        </w:rPr>
      </w:pPr>
    </w:p>
    <w:p w14:paraId="4858F27D" w14:textId="77777777" w:rsidR="00E85348" w:rsidRPr="00CD7B09" w:rsidRDefault="00E85348" w:rsidP="00E85348">
      <w:pPr>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PROYECTO DE LEY ESTATUTARIA Nº 143 de 2021 CÁMARA</w:t>
      </w:r>
    </w:p>
    <w:p w14:paraId="175B7DFA" w14:textId="77777777" w:rsidR="00E85348" w:rsidRPr="00CD7B09" w:rsidRDefault="00E85348" w:rsidP="00E85348">
      <w:pPr>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“POR LA CUAL SE CREA UNA ESPECIALIDAD JUDICIAL AGRARIA Y RURAL, SE ESTABLECEN LOS MECANISMOS PARA LA RESOLUCIÓN DE CONTROVERSIAS Y LITIGIOS AGRARIOS Y RURALES Y SE DICTAN OTRAS DISPOSICIONES”.</w:t>
      </w:r>
    </w:p>
    <w:p w14:paraId="2A137AC0" w14:textId="77777777" w:rsidR="00E85348" w:rsidRPr="00CD7B09" w:rsidRDefault="00E85348"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Fonts w:ascii="Century Gothic" w:eastAsia="Helvetica" w:hAnsi="Century Gothic" w:cs="Helvetica"/>
          <w:b/>
          <w:sz w:val="22"/>
          <w:szCs w:val="22"/>
        </w:rPr>
      </w:pPr>
    </w:p>
    <w:p w14:paraId="3B0AC929" w14:textId="77777777" w:rsidR="00CB7C86" w:rsidRPr="00CD7B09" w:rsidRDefault="00CB7C86"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Fonts w:ascii="Century Gothic" w:hAnsi="Century Gothic"/>
          <w:sz w:val="22"/>
          <w:szCs w:val="22"/>
        </w:rPr>
      </w:pPr>
    </w:p>
    <w:p w14:paraId="27D40828" w14:textId="77777777" w:rsidR="000C78B1" w:rsidRPr="00CD7B09" w:rsidRDefault="000C78B1" w:rsidP="00E85348">
      <w:pPr>
        <w:rPr>
          <w:rFonts w:ascii="Century Gothic" w:hAnsi="Century Gothic"/>
          <w:sz w:val="22"/>
          <w:szCs w:val="22"/>
        </w:rPr>
      </w:pPr>
    </w:p>
    <w:p w14:paraId="0C49AD58" w14:textId="77777777" w:rsidR="00366170" w:rsidRPr="00CD7B09" w:rsidRDefault="00366170" w:rsidP="00E85348">
      <w:pPr>
        <w:pStyle w:val="Norm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Century Gothic" w:hAnsi="Century Gothic"/>
          <w:sz w:val="22"/>
          <w:szCs w:val="22"/>
        </w:rPr>
      </w:pPr>
      <w:r w:rsidRPr="00CD7B09">
        <w:rPr>
          <w:rFonts w:ascii="Century Gothic" w:hAnsi="Century Gothic"/>
          <w:b/>
          <w:sz w:val="22"/>
          <w:szCs w:val="22"/>
        </w:rPr>
        <w:t>TR</w:t>
      </w:r>
      <w:r w:rsidRPr="00CD7B09">
        <w:rPr>
          <w:rFonts w:ascii="Century Gothic" w:eastAsia="Helvetica" w:hAnsi="Century Gothic" w:cs="Helvetica"/>
          <w:b/>
          <w:sz w:val="22"/>
          <w:szCs w:val="22"/>
        </w:rPr>
        <w:t>ÁMITE DE LA INICIATIVA</w:t>
      </w:r>
    </w:p>
    <w:p w14:paraId="018BAF09" w14:textId="77777777" w:rsidR="005D4CEB" w:rsidRPr="00CD7B09" w:rsidRDefault="005D4CEB"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Century Gothic" w:hAnsi="Century Gothic"/>
          <w:sz w:val="22"/>
          <w:szCs w:val="22"/>
        </w:rPr>
      </w:pPr>
    </w:p>
    <w:p w14:paraId="66C6AA3C" w14:textId="18E3563A" w:rsidR="001263EB" w:rsidRPr="00CD7B09" w:rsidRDefault="00E61AAD"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Century Gothic" w:eastAsia="Helvetica" w:hAnsi="Century Gothic" w:cs="Helvetica"/>
          <w:sz w:val="22"/>
          <w:szCs w:val="22"/>
        </w:rPr>
      </w:pPr>
      <w:r w:rsidRPr="00CD7B09">
        <w:rPr>
          <w:rFonts w:ascii="Century Gothic" w:hAnsi="Century Gothic"/>
          <w:sz w:val="22"/>
          <w:szCs w:val="22"/>
        </w:rPr>
        <w:t xml:space="preserve">El presente proyecto de ley estatutaria fue radicado el </w:t>
      </w:r>
      <w:r w:rsidR="00E85348" w:rsidRPr="00CD7B09">
        <w:rPr>
          <w:rFonts w:ascii="Century Gothic" w:hAnsi="Century Gothic"/>
          <w:sz w:val="22"/>
          <w:szCs w:val="22"/>
        </w:rPr>
        <w:t>pasado 27 de julio por los S</w:t>
      </w:r>
      <w:r w:rsidR="001263EB" w:rsidRPr="00CD7B09">
        <w:rPr>
          <w:rFonts w:ascii="Century Gothic" w:hAnsi="Century Gothic"/>
          <w:sz w:val="22"/>
          <w:szCs w:val="22"/>
        </w:rPr>
        <w:t>enadores Ang</w:t>
      </w:r>
      <w:r w:rsidR="001263EB" w:rsidRPr="00CD7B09">
        <w:rPr>
          <w:rFonts w:ascii="Century Gothic" w:eastAsia="Helvetica" w:hAnsi="Century Gothic" w:cs="Helvetica"/>
          <w:sz w:val="22"/>
          <w:szCs w:val="22"/>
        </w:rPr>
        <w:t>élica Lozano Correa, Rodrigo Lara, Roosevelt Rodríguez</w:t>
      </w:r>
      <w:r w:rsidR="00E85348" w:rsidRPr="00CD7B09">
        <w:rPr>
          <w:rFonts w:ascii="Century Gothic" w:eastAsia="Helvetica" w:hAnsi="Century Gothic" w:cs="Helvetica"/>
          <w:sz w:val="22"/>
          <w:szCs w:val="22"/>
        </w:rPr>
        <w:t>, Luis Fernando Velasco, y los R</w:t>
      </w:r>
      <w:r w:rsidR="001263EB" w:rsidRPr="00CD7B09">
        <w:rPr>
          <w:rFonts w:ascii="Century Gothic" w:eastAsia="Helvetica" w:hAnsi="Century Gothic" w:cs="Helvetica"/>
          <w:sz w:val="22"/>
          <w:szCs w:val="22"/>
        </w:rPr>
        <w:t xml:space="preserve">epresentantes </w:t>
      </w:r>
      <w:r w:rsidR="00E85348" w:rsidRPr="00CD7B09">
        <w:rPr>
          <w:rFonts w:ascii="Century Gothic" w:eastAsia="Helvetica" w:hAnsi="Century Gothic" w:cs="Helvetica"/>
          <w:sz w:val="22"/>
          <w:szCs w:val="22"/>
        </w:rPr>
        <w:t xml:space="preserve">a la Cámara </w:t>
      </w:r>
      <w:r w:rsidR="001263EB" w:rsidRPr="00CD7B09">
        <w:rPr>
          <w:rFonts w:ascii="Century Gothic" w:eastAsia="Helvetica" w:hAnsi="Century Gothic" w:cs="Helvetica"/>
          <w:sz w:val="22"/>
          <w:szCs w:val="22"/>
        </w:rPr>
        <w:t>José Daniel López, Adriana Magali Matiz, Carlos Adolfo Ardila, Julio Cesar Triana, Ángela María Robledo, Jorge Alberto Gómez, Juan Carlos Lozada, Alfre</w:t>
      </w:r>
      <w:r w:rsidR="00544E6E" w:rsidRPr="00CD7B09">
        <w:rPr>
          <w:rFonts w:ascii="Century Gothic" w:eastAsia="Helvetica" w:hAnsi="Century Gothic" w:cs="Helvetica"/>
          <w:sz w:val="22"/>
          <w:szCs w:val="22"/>
        </w:rPr>
        <w:t>do Rafael Deluque y</w:t>
      </w:r>
      <w:r w:rsidR="00E85348" w:rsidRPr="00CD7B09">
        <w:rPr>
          <w:rFonts w:ascii="Century Gothic" w:eastAsia="Helvetica" w:hAnsi="Century Gothic" w:cs="Helvetica"/>
          <w:sz w:val="22"/>
          <w:szCs w:val="22"/>
        </w:rPr>
        <w:t xml:space="preserve"> Juanita Goebertus Estrada.</w:t>
      </w:r>
    </w:p>
    <w:p w14:paraId="6E7DA1F4" w14:textId="77777777" w:rsidR="001263EB" w:rsidRPr="00CD7B09" w:rsidRDefault="001263EB"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Century Gothic" w:eastAsia="Helvetica" w:hAnsi="Century Gothic" w:cs="Helvetica"/>
          <w:sz w:val="22"/>
          <w:szCs w:val="22"/>
        </w:rPr>
      </w:pPr>
    </w:p>
    <w:p w14:paraId="64BAF0FE" w14:textId="0EDC888D" w:rsidR="001263EB" w:rsidRPr="00CD7B09" w:rsidRDefault="001263EB" w:rsidP="00D81420">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Century Gothic" w:eastAsia="Helvetica" w:hAnsi="Century Gothic" w:cs="Helvetica"/>
          <w:sz w:val="22"/>
          <w:szCs w:val="22"/>
        </w:rPr>
      </w:pPr>
      <w:r w:rsidRPr="00CD7B09">
        <w:rPr>
          <w:rFonts w:ascii="Century Gothic" w:eastAsia="Helvetica" w:hAnsi="Century Gothic" w:cs="Helvetica"/>
          <w:sz w:val="22"/>
          <w:szCs w:val="22"/>
        </w:rPr>
        <w:t>Por disposició</w:t>
      </w:r>
      <w:r w:rsidR="00642474" w:rsidRPr="00CD7B09">
        <w:rPr>
          <w:rFonts w:ascii="Century Gothic" w:eastAsia="Helvetica" w:hAnsi="Century Gothic" w:cs="Helvetica"/>
          <w:sz w:val="22"/>
          <w:szCs w:val="22"/>
        </w:rPr>
        <w:t xml:space="preserve">n de la Mesa Directiva, </w:t>
      </w:r>
      <w:r w:rsidR="00544E6E" w:rsidRPr="00CD7B09">
        <w:rPr>
          <w:rFonts w:ascii="Century Gothic" w:eastAsia="Helvetica" w:hAnsi="Century Gothic" w:cs="Helvetica"/>
          <w:sz w:val="22"/>
          <w:szCs w:val="22"/>
        </w:rPr>
        <w:t>la Representante a la Cámara Juanita Goebertus Estrada fue</w:t>
      </w:r>
      <w:r w:rsidR="00642474" w:rsidRPr="00CD7B09">
        <w:rPr>
          <w:rFonts w:ascii="Century Gothic" w:eastAsia="Helvetica" w:hAnsi="Century Gothic" w:cs="Helvetica"/>
          <w:sz w:val="22"/>
          <w:szCs w:val="22"/>
        </w:rPr>
        <w:t xml:space="preserve"> designada ponente única de la presente iniciativa el pasado 25 de agosto de 2021. </w:t>
      </w:r>
    </w:p>
    <w:p w14:paraId="0B1A7DD0" w14:textId="77777777" w:rsidR="00544E6E" w:rsidRPr="00CD7B09" w:rsidRDefault="00544E6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Century Gothic" w:eastAsia="Helvetica" w:hAnsi="Century Gothic" w:cs="Helvetica"/>
          <w:sz w:val="22"/>
          <w:szCs w:val="22"/>
        </w:rPr>
      </w:pPr>
    </w:p>
    <w:p w14:paraId="691999ED" w14:textId="77777777" w:rsidR="00D81420" w:rsidRPr="00CD7B09" w:rsidRDefault="00544E6E" w:rsidP="00544E6E">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Century Gothic" w:eastAsia="Helvetica" w:hAnsi="Century Gothic" w:cs="Helvetica"/>
          <w:sz w:val="22"/>
          <w:szCs w:val="22"/>
        </w:rPr>
      </w:pPr>
      <w:r w:rsidRPr="00CD7B09">
        <w:rPr>
          <w:rFonts w:ascii="Century Gothic" w:eastAsia="Helvetica" w:hAnsi="Century Gothic" w:cs="Helvetica"/>
          <w:sz w:val="22"/>
          <w:szCs w:val="22"/>
        </w:rPr>
        <w:t xml:space="preserve">El proyecto tuvo discusión en la Comisión Primera el 21 de septiembre de 2021, aprobándose varios de sus artículos. La Mesa Directiva de la Comisión designó subcomisión para el estudio de proposiciones, compuesta por los Representantes Juanita Goebertus, Adriana Magali Matiz, Cesar Augusto Lorduy, Gabriel Jaime Vallejo y Jorge Enrique Burgos. </w:t>
      </w:r>
    </w:p>
    <w:p w14:paraId="40223EDF" w14:textId="77777777" w:rsidR="00D81420" w:rsidRPr="00CD7B09" w:rsidRDefault="00D81420" w:rsidP="00544E6E">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Century Gothic" w:eastAsia="Helvetica" w:hAnsi="Century Gothic" w:cs="Helvetica"/>
          <w:sz w:val="22"/>
          <w:szCs w:val="22"/>
        </w:rPr>
      </w:pPr>
    </w:p>
    <w:p w14:paraId="646FACA9" w14:textId="16331110" w:rsidR="00544E6E" w:rsidRPr="00CD7B09" w:rsidRDefault="00544E6E" w:rsidP="00544E6E">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Century Gothic" w:eastAsia="Helvetica" w:hAnsi="Century Gothic" w:cs="Helvetica"/>
          <w:sz w:val="22"/>
          <w:szCs w:val="22"/>
        </w:rPr>
      </w:pPr>
      <w:r w:rsidRPr="00CD7B09">
        <w:rPr>
          <w:rFonts w:ascii="Century Gothic" w:eastAsia="Helvetica" w:hAnsi="Century Gothic" w:cs="Helvetica"/>
          <w:sz w:val="22"/>
          <w:szCs w:val="22"/>
        </w:rPr>
        <w:t>El proyecto fue aprobado por la Comisión Primera de la Cámara e</w:t>
      </w:r>
      <w:r w:rsidR="00D81420" w:rsidRPr="00CD7B09">
        <w:rPr>
          <w:rFonts w:ascii="Century Gothic" w:eastAsia="Helvetica" w:hAnsi="Century Gothic" w:cs="Helvetica"/>
          <w:sz w:val="22"/>
          <w:szCs w:val="22"/>
        </w:rPr>
        <w:t xml:space="preserve">l pasado 12 de octubre de 2021, y por medio de oficio ese mismo día, se notificó a los representantes </w:t>
      </w:r>
      <w:r w:rsidR="00D81420" w:rsidRPr="00CD7B09">
        <w:rPr>
          <w:rFonts w:ascii="Century Gothic" w:eastAsia="Helvetica" w:hAnsi="Century Gothic" w:cs="Helvetica"/>
          <w:sz w:val="22"/>
          <w:szCs w:val="22"/>
        </w:rPr>
        <w:t>Juanita Goebertus, Adriana Magali Matiz, Cesar Augusto Lorduy, Gabriel Jaime Vallejo y</w:t>
      </w:r>
      <w:r w:rsidR="00D81420" w:rsidRPr="00CD7B09">
        <w:rPr>
          <w:rFonts w:ascii="Century Gothic" w:eastAsia="Helvetica" w:hAnsi="Century Gothic" w:cs="Helvetica"/>
          <w:sz w:val="22"/>
          <w:szCs w:val="22"/>
        </w:rPr>
        <w:t xml:space="preserve"> Juan Carlos Lozada como ponentes para segundo debate.</w:t>
      </w:r>
    </w:p>
    <w:p w14:paraId="72BC3B14" w14:textId="77777777" w:rsidR="00642474" w:rsidRPr="00CD7B09" w:rsidRDefault="00642474"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Century Gothic" w:eastAsia="Helvetica" w:hAnsi="Century Gothic" w:cs="Helvetica"/>
          <w:sz w:val="22"/>
          <w:szCs w:val="22"/>
        </w:rPr>
      </w:pPr>
    </w:p>
    <w:p w14:paraId="40D865E4" w14:textId="43C615BE" w:rsidR="00B04545" w:rsidRPr="00CD7B09" w:rsidRDefault="00366170" w:rsidP="00E85348">
      <w:pPr>
        <w:pStyle w:val="Normal0"/>
        <w:numPr>
          <w:ilvl w:val="0"/>
          <w:numId w:val="1"/>
        </w:numPr>
        <w:pBdr>
          <w:top w:val="nil"/>
          <w:left w:val="nil"/>
          <w:bottom w:val="nil"/>
          <w:right w:val="nil"/>
          <w:between w:val="nil"/>
        </w:pBdr>
        <w:tabs>
          <w:tab w:val="left" w:pos="708"/>
          <w:tab w:val="left" w:pos="1416"/>
          <w:tab w:val="left" w:pos="2160"/>
          <w:tab w:val="left" w:pos="2880"/>
          <w:tab w:val="left" w:pos="3600"/>
          <w:tab w:val="left" w:pos="4320"/>
          <w:tab w:val="left" w:pos="5040"/>
          <w:tab w:val="left" w:pos="5760"/>
          <w:tab w:val="left" w:pos="6480"/>
          <w:tab w:val="left" w:pos="7200"/>
          <w:tab w:val="left" w:pos="7920"/>
          <w:tab w:val="left" w:pos="8338"/>
        </w:tabs>
        <w:rPr>
          <w:rFonts w:ascii="Century Gothic" w:hAnsi="Century Gothic"/>
          <w:sz w:val="22"/>
          <w:szCs w:val="22"/>
        </w:rPr>
      </w:pPr>
      <w:r w:rsidRPr="00CD7B09">
        <w:rPr>
          <w:rFonts w:ascii="Century Gothic" w:hAnsi="Century Gothic"/>
          <w:b/>
          <w:sz w:val="22"/>
          <w:szCs w:val="22"/>
        </w:rPr>
        <w:t>JUSTIFICACI</w:t>
      </w:r>
      <w:r w:rsidRPr="00CD7B09">
        <w:rPr>
          <w:rFonts w:ascii="Century Gothic" w:eastAsia="Helvetica" w:hAnsi="Century Gothic" w:cs="Helvetica"/>
          <w:b/>
          <w:sz w:val="22"/>
          <w:szCs w:val="22"/>
        </w:rPr>
        <w:t>ÓN Y CONTENIDO DEL PROYECTO</w:t>
      </w:r>
    </w:p>
    <w:p w14:paraId="48C9B105" w14:textId="77777777" w:rsidR="00B04545" w:rsidRPr="00CD7B09" w:rsidRDefault="00B04545"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hAnsi="Century Gothic"/>
          <w:sz w:val="22"/>
          <w:szCs w:val="22"/>
        </w:rPr>
      </w:pPr>
    </w:p>
    <w:p w14:paraId="1556FF21" w14:textId="77777777" w:rsidR="00642474" w:rsidRPr="00CD7B09" w:rsidRDefault="00642474"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hAnsi="Century Gothic"/>
          <w:sz w:val="22"/>
          <w:szCs w:val="22"/>
        </w:rPr>
      </w:pPr>
      <w:r w:rsidRPr="00CD7B09">
        <w:rPr>
          <w:rFonts w:ascii="Century Gothic" w:hAnsi="Century Gothic"/>
          <w:sz w:val="22"/>
          <w:szCs w:val="22"/>
        </w:rPr>
        <w:t>El PLE 143 de 2021 busca adecuar y articular la estructura de la Administraci</w:t>
      </w:r>
      <w:r w:rsidRPr="00CD7B09">
        <w:rPr>
          <w:rFonts w:ascii="Century Gothic" w:eastAsia="Helvetica" w:hAnsi="Century Gothic" w:cs="Helvetica"/>
          <w:sz w:val="22"/>
          <w:szCs w:val="22"/>
        </w:rPr>
        <w:t xml:space="preserve">ón </w:t>
      </w:r>
      <w:r w:rsidRPr="00CD7B09">
        <w:rPr>
          <w:rFonts w:ascii="Century Gothic" w:hAnsi="Century Gothic"/>
          <w:sz w:val="22"/>
          <w:szCs w:val="22"/>
        </w:rPr>
        <w:t>de Justicia y su organizaci</w:t>
      </w:r>
      <w:r w:rsidRPr="00CD7B09">
        <w:rPr>
          <w:rFonts w:ascii="Century Gothic" w:eastAsia="Helvetica" w:hAnsi="Century Gothic" w:cs="Helvetica"/>
          <w:sz w:val="22"/>
          <w:szCs w:val="22"/>
        </w:rPr>
        <w:t>ón institucional y procedimental, para implementar la especialidad agraria y rural en las jurisdicciones ordinaria y de lo contencioso administrativo en Colombia. En términos generales, por esta vía se pretende: (i) hacer efectiv</w:t>
      </w:r>
      <w:r w:rsidRPr="00CD7B09">
        <w:rPr>
          <w:rFonts w:ascii="Century Gothic" w:hAnsi="Century Gothic"/>
          <w:sz w:val="22"/>
          <w:szCs w:val="22"/>
        </w:rPr>
        <w:t>a la cl</w:t>
      </w:r>
      <w:r w:rsidRPr="00CD7B09">
        <w:rPr>
          <w:rFonts w:ascii="Century Gothic" w:eastAsia="Helvetica" w:hAnsi="Century Gothic" w:cs="Helvetica"/>
          <w:sz w:val="22"/>
          <w:szCs w:val="22"/>
        </w:rPr>
        <w:t>áusula constitucional de Estado Social de Derecho, desde la perspectiva del ordenamiento y acceso progresivo a la propiedad de la tierra en Colombia; (ii) la protección a los trabajadores agrarios (CP., arts. 1, 64, 65 y 66); (iii) cumplir con lo di</w:t>
      </w:r>
      <w:r w:rsidRPr="00CD7B09">
        <w:rPr>
          <w:rFonts w:ascii="Century Gothic" w:hAnsi="Century Gothic"/>
          <w:sz w:val="22"/>
          <w:szCs w:val="22"/>
        </w:rPr>
        <w:t>spuesto en el Acto Legislativo 02 de 2017; y finalmente, (iv) integrar dicho esquema en la ley estatutaria de administraci</w:t>
      </w:r>
      <w:r w:rsidRPr="00CD7B09">
        <w:rPr>
          <w:rFonts w:ascii="Century Gothic" w:eastAsia="Helvetica" w:hAnsi="Century Gothic" w:cs="Helvetica"/>
          <w:sz w:val="22"/>
          <w:szCs w:val="22"/>
        </w:rPr>
        <w:t>ón de justicia.</w:t>
      </w:r>
    </w:p>
    <w:p w14:paraId="45864983" w14:textId="77777777" w:rsidR="00642474" w:rsidRPr="00CD7B09" w:rsidRDefault="00642474"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hAnsi="Century Gothic"/>
          <w:sz w:val="22"/>
          <w:szCs w:val="22"/>
        </w:rPr>
      </w:pPr>
    </w:p>
    <w:p w14:paraId="7A6CBDB3" w14:textId="4391A13E" w:rsidR="00B04545" w:rsidRPr="00CD7B09" w:rsidRDefault="00B04545" w:rsidP="00E85348">
      <w:pPr>
        <w:jc w:val="both"/>
        <w:rPr>
          <w:rFonts w:ascii="Century Gothic" w:hAnsi="Century Gothic"/>
          <w:sz w:val="22"/>
          <w:szCs w:val="22"/>
        </w:rPr>
      </w:pPr>
      <w:r w:rsidRPr="00CD7B09">
        <w:rPr>
          <w:rFonts w:ascii="Century Gothic" w:hAnsi="Century Gothic"/>
          <w:sz w:val="22"/>
          <w:szCs w:val="22"/>
        </w:rPr>
        <w:t>La exposici</w:t>
      </w:r>
      <w:r w:rsidRPr="00CD7B09">
        <w:rPr>
          <w:rFonts w:ascii="Century Gothic" w:eastAsia="Helvetica" w:hAnsi="Century Gothic" w:cs="Helvetica"/>
          <w:sz w:val="22"/>
          <w:szCs w:val="22"/>
        </w:rPr>
        <w:t>ó</w:t>
      </w:r>
      <w:r w:rsidRPr="00CD7B09">
        <w:rPr>
          <w:rFonts w:ascii="Century Gothic" w:hAnsi="Century Gothic"/>
          <w:sz w:val="22"/>
          <w:szCs w:val="22"/>
        </w:rPr>
        <w:t>n de motivos radicada para este PLE expone que, respecto al acceso al sistema judicial, la tasa nacional es de once jueces por cada cien mil habitantes, mientras que en los municipios PDET (Programas de Desarrollo con Enfoque Territorial), es de seis</w:t>
      </w:r>
      <w:r w:rsidRPr="00CD7B09">
        <w:rPr>
          <w:rStyle w:val="Refdenotaalpie"/>
          <w:rFonts w:ascii="Century Gothic" w:hAnsi="Century Gothic"/>
          <w:sz w:val="22"/>
          <w:szCs w:val="22"/>
        </w:rPr>
        <w:footnoteReference w:id="1"/>
      </w:r>
      <w:r w:rsidRPr="00CD7B09">
        <w:rPr>
          <w:rFonts w:ascii="Century Gothic" w:hAnsi="Century Gothic"/>
          <w:sz w:val="22"/>
          <w:szCs w:val="22"/>
        </w:rPr>
        <w:t>. As</w:t>
      </w:r>
      <w:r w:rsidRPr="00CD7B09">
        <w:rPr>
          <w:rFonts w:ascii="Century Gothic" w:eastAsia="Helvetica" w:hAnsi="Century Gothic" w:cs="Helvetica"/>
          <w:sz w:val="22"/>
          <w:szCs w:val="22"/>
        </w:rPr>
        <w:t>í</w:t>
      </w:r>
      <w:r w:rsidRPr="00CD7B09">
        <w:rPr>
          <w:rFonts w:ascii="Century Gothic" w:hAnsi="Century Gothic"/>
          <w:sz w:val="22"/>
          <w:szCs w:val="22"/>
        </w:rPr>
        <w:t>, por ejemplo, el 95,8% de los municipios PDET no cuentan con jueces itinerantes del circuito especializados en tierras; el 81,2% de ellos no cuenta con centros de conciliaci</w:t>
      </w:r>
      <w:r w:rsidRPr="00CD7B09">
        <w:rPr>
          <w:rFonts w:ascii="Century Gothic" w:eastAsia="Helvetica" w:hAnsi="Century Gothic" w:cs="Helvetica"/>
          <w:sz w:val="22"/>
          <w:szCs w:val="22"/>
        </w:rPr>
        <w:t>ó</w:t>
      </w:r>
      <w:r w:rsidRPr="00CD7B09">
        <w:rPr>
          <w:rFonts w:ascii="Century Gothic" w:hAnsi="Century Gothic"/>
          <w:sz w:val="22"/>
          <w:szCs w:val="22"/>
        </w:rPr>
        <w:t>n</w:t>
      </w:r>
      <w:r w:rsidRPr="00CD7B09">
        <w:rPr>
          <w:rStyle w:val="Refdenotaalpie"/>
          <w:rFonts w:ascii="Century Gothic" w:hAnsi="Century Gothic"/>
          <w:sz w:val="22"/>
          <w:szCs w:val="22"/>
        </w:rPr>
        <w:footnoteReference w:id="2"/>
      </w:r>
      <w:r w:rsidRPr="00CD7B09">
        <w:rPr>
          <w:rFonts w:ascii="Century Gothic" w:hAnsi="Century Gothic"/>
          <w:sz w:val="22"/>
          <w:szCs w:val="22"/>
        </w:rPr>
        <w:t>, y el 72,4% no cuenta con Casas de Justicia o Centros de Convivencia Ciudadana</w:t>
      </w:r>
      <w:r w:rsidRPr="00CD7B09">
        <w:rPr>
          <w:rFonts w:ascii="Century Gothic" w:hAnsi="Century Gothic"/>
          <w:sz w:val="22"/>
          <w:szCs w:val="22"/>
          <w:vertAlign w:val="superscript"/>
        </w:rPr>
        <w:footnoteReference w:id="3"/>
      </w:r>
      <w:r w:rsidRPr="00CD7B09">
        <w:rPr>
          <w:rFonts w:ascii="Century Gothic" w:hAnsi="Century Gothic"/>
          <w:sz w:val="22"/>
          <w:szCs w:val="22"/>
        </w:rPr>
        <w:t>.</w:t>
      </w:r>
    </w:p>
    <w:p w14:paraId="253BB72F" w14:textId="77777777" w:rsidR="00E61C26" w:rsidRPr="00CD7B09" w:rsidRDefault="00E61C26" w:rsidP="00E85348">
      <w:pPr>
        <w:jc w:val="both"/>
        <w:rPr>
          <w:rFonts w:ascii="Century Gothic" w:hAnsi="Century Gothic"/>
          <w:sz w:val="22"/>
          <w:szCs w:val="22"/>
        </w:rPr>
      </w:pPr>
    </w:p>
    <w:p w14:paraId="240EB7BC" w14:textId="77777777" w:rsidR="00E85348" w:rsidRPr="00CD7B09" w:rsidRDefault="00E61C26" w:rsidP="00E85348">
      <w:pPr>
        <w:jc w:val="both"/>
        <w:rPr>
          <w:rFonts w:ascii="Century Gothic" w:hAnsi="Century Gothic"/>
          <w:sz w:val="22"/>
          <w:szCs w:val="22"/>
        </w:rPr>
      </w:pPr>
      <w:r w:rsidRPr="00CD7B09">
        <w:rPr>
          <w:rFonts w:ascii="Century Gothic" w:hAnsi="Century Gothic"/>
          <w:sz w:val="22"/>
          <w:szCs w:val="22"/>
        </w:rPr>
        <w:t>Tambi</w:t>
      </w:r>
      <w:r w:rsidRPr="00CD7B09">
        <w:rPr>
          <w:rFonts w:ascii="Century Gothic" w:eastAsia="Helvetica" w:hAnsi="Century Gothic" w:cs="Helvetica"/>
          <w:sz w:val="22"/>
          <w:szCs w:val="22"/>
        </w:rPr>
        <w:t>é</w:t>
      </w:r>
      <w:r w:rsidRPr="00CD7B09">
        <w:rPr>
          <w:rFonts w:ascii="Century Gothic" w:hAnsi="Century Gothic"/>
          <w:sz w:val="22"/>
          <w:szCs w:val="22"/>
        </w:rPr>
        <w:t>n se enfatiz</w:t>
      </w:r>
      <w:r w:rsidRPr="00CD7B09">
        <w:rPr>
          <w:rFonts w:ascii="Century Gothic" w:eastAsia="Helvetica" w:hAnsi="Century Gothic" w:cs="Helvetica"/>
          <w:sz w:val="22"/>
          <w:szCs w:val="22"/>
        </w:rPr>
        <w:t>ó</w:t>
      </w:r>
      <w:r w:rsidRPr="00CD7B09">
        <w:rPr>
          <w:rFonts w:ascii="Century Gothic" w:hAnsi="Century Gothic"/>
          <w:sz w:val="22"/>
          <w:szCs w:val="22"/>
        </w:rPr>
        <w:t xml:space="preserve"> que los conflictos sobre la tierra son tres veces m</w:t>
      </w:r>
      <w:r w:rsidRPr="00CD7B09">
        <w:rPr>
          <w:rFonts w:ascii="Century Gothic" w:eastAsia="Helvetica" w:hAnsi="Century Gothic" w:cs="Helvetica"/>
          <w:sz w:val="22"/>
          <w:szCs w:val="22"/>
        </w:rPr>
        <w:t>ayores en las zo</w:t>
      </w:r>
      <w:r w:rsidR="00E85348" w:rsidRPr="00CD7B09">
        <w:rPr>
          <w:rFonts w:ascii="Century Gothic" w:eastAsia="Helvetica" w:hAnsi="Century Gothic" w:cs="Helvetica"/>
          <w:sz w:val="22"/>
          <w:szCs w:val="22"/>
        </w:rPr>
        <w:t>nas rurales que en las zonas ur</w:t>
      </w:r>
      <w:r w:rsidRPr="00CD7B09">
        <w:rPr>
          <w:rFonts w:ascii="Century Gothic" w:eastAsia="Helvetica" w:hAnsi="Century Gothic" w:cs="Helvetica"/>
          <w:sz w:val="22"/>
          <w:szCs w:val="22"/>
        </w:rPr>
        <w:t xml:space="preserve">banas: mientras que a nivel nacional el 0,1% </w:t>
      </w:r>
      <w:r w:rsidRPr="00CD7B09">
        <w:rPr>
          <w:rFonts w:ascii="Century Gothic" w:hAnsi="Century Gothic"/>
          <w:sz w:val="22"/>
          <w:szCs w:val="22"/>
        </w:rPr>
        <w:t>de las personas que han experimentado un problema, desacuerdo, conflicto o disputa corresponden a problemas de propiedad, uso y tenencia de la tierra, en los centros poblados y rural disperso esta cifra corresponde a 0,3%</w:t>
      </w:r>
      <w:r w:rsidRPr="00CD7B09">
        <w:rPr>
          <w:rFonts w:ascii="Century Gothic" w:hAnsi="Century Gothic"/>
          <w:sz w:val="22"/>
          <w:szCs w:val="22"/>
          <w:vertAlign w:val="superscript"/>
        </w:rPr>
        <w:footnoteReference w:id="4"/>
      </w:r>
      <w:r w:rsidRPr="00CD7B09">
        <w:rPr>
          <w:rFonts w:ascii="Century Gothic" w:hAnsi="Century Gothic"/>
          <w:sz w:val="22"/>
          <w:szCs w:val="22"/>
        </w:rPr>
        <w:t xml:space="preserve">. </w:t>
      </w:r>
    </w:p>
    <w:p w14:paraId="42AEAE1B" w14:textId="77777777" w:rsidR="00E85348" w:rsidRPr="00CD7B09" w:rsidRDefault="00E85348" w:rsidP="00E85348">
      <w:pPr>
        <w:jc w:val="both"/>
        <w:rPr>
          <w:rFonts w:ascii="Century Gothic" w:hAnsi="Century Gothic"/>
          <w:sz w:val="22"/>
          <w:szCs w:val="22"/>
        </w:rPr>
      </w:pPr>
    </w:p>
    <w:p w14:paraId="1B917658" w14:textId="3824D184" w:rsidR="00E61C26" w:rsidRPr="00CD7B09" w:rsidRDefault="00E61C26" w:rsidP="00E85348">
      <w:pPr>
        <w:jc w:val="both"/>
        <w:rPr>
          <w:rFonts w:ascii="Century Gothic" w:hAnsi="Century Gothic"/>
          <w:sz w:val="22"/>
          <w:szCs w:val="22"/>
        </w:rPr>
      </w:pPr>
      <w:r w:rsidRPr="00CD7B09">
        <w:rPr>
          <w:rFonts w:ascii="Century Gothic" w:hAnsi="Century Gothic"/>
          <w:sz w:val="22"/>
          <w:szCs w:val="22"/>
        </w:rPr>
        <w:t>Adicionalmente</w:t>
      </w:r>
      <w:r w:rsidR="00E85348" w:rsidRPr="00CD7B09">
        <w:rPr>
          <w:rFonts w:ascii="Century Gothic" w:hAnsi="Century Gothic"/>
          <w:sz w:val="22"/>
          <w:szCs w:val="22"/>
        </w:rPr>
        <w:t>, expuso que:</w:t>
      </w:r>
    </w:p>
    <w:p w14:paraId="589D56D5" w14:textId="77777777" w:rsidR="00E85348" w:rsidRPr="00CD7B09" w:rsidRDefault="00E85348" w:rsidP="00E85348">
      <w:pPr>
        <w:jc w:val="both"/>
        <w:rPr>
          <w:rFonts w:ascii="Century Gothic" w:hAnsi="Century Gothic"/>
          <w:sz w:val="22"/>
          <w:szCs w:val="22"/>
        </w:rPr>
      </w:pPr>
    </w:p>
    <w:p w14:paraId="7BF1BC5F" w14:textId="3675CA36" w:rsidR="00E61C26" w:rsidRPr="00CD7B09" w:rsidRDefault="00E61C26" w:rsidP="00E85348">
      <w:pPr>
        <w:ind w:left="708"/>
        <w:jc w:val="both"/>
        <w:rPr>
          <w:rFonts w:ascii="Century Gothic" w:hAnsi="Century Gothic"/>
          <w:sz w:val="22"/>
          <w:szCs w:val="22"/>
        </w:rPr>
      </w:pPr>
      <w:r w:rsidRPr="00CD7B09">
        <w:rPr>
          <w:rFonts w:ascii="Century Gothic" w:eastAsia="Helvetica" w:hAnsi="Century Gothic" w:cs="Helvetica"/>
          <w:sz w:val="22"/>
          <w:szCs w:val="22"/>
        </w:rPr>
        <w:t>“</w:t>
      </w:r>
      <w:r w:rsidRPr="00CD7B09">
        <w:rPr>
          <w:rFonts w:ascii="Century Gothic" w:hAnsi="Century Gothic"/>
          <w:sz w:val="22"/>
          <w:szCs w:val="22"/>
        </w:rPr>
        <w:t>las personas a nivel nacional que experimentaron un problema de propiedad, uso y tenencia de la tierra y acudieron a una instituci</w:t>
      </w:r>
      <w:r w:rsidRPr="00CD7B09">
        <w:rPr>
          <w:rFonts w:ascii="Century Gothic" w:eastAsia="Helvetica" w:hAnsi="Century Gothic" w:cs="Helvetica"/>
          <w:sz w:val="22"/>
          <w:szCs w:val="22"/>
        </w:rPr>
        <w:t>ón o entidad, reportaron que acudieron a diversas instituciones o entidades, pues no hay una entidad o institución típica a la que acudan las personas que presentan este problema. Estas personas recurrieron a las siguie</w:t>
      </w:r>
      <w:r w:rsidRPr="00CD7B09">
        <w:rPr>
          <w:rFonts w:ascii="Century Gothic" w:hAnsi="Century Gothic"/>
          <w:sz w:val="22"/>
          <w:szCs w:val="22"/>
        </w:rPr>
        <w:t>ntes instituciones o entidades: abogado; alcald</w:t>
      </w:r>
      <w:r w:rsidRPr="00CD7B09">
        <w:rPr>
          <w:rFonts w:ascii="Century Gothic" w:eastAsia="Helvetica" w:hAnsi="Century Gothic" w:cs="Helvetica"/>
          <w:sz w:val="22"/>
          <w:szCs w:val="22"/>
        </w:rPr>
        <w:t>ías o gobernaciones; catastros, Instituto Geográfico Agustín Codazzi, Curadurías Urbanas o lonjas; Defensoría del Pueblo; e inspección de Policía. Y, cero personas acudieron a juzgados o jue</w:t>
      </w:r>
      <w:r w:rsidRPr="00CD7B09">
        <w:rPr>
          <w:rFonts w:ascii="Century Gothic" w:hAnsi="Century Gothic"/>
          <w:sz w:val="22"/>
          <w:szCs w:val="22"/>
        </w:rPr>
        <w:t>ces</w:t>
      </w:r>
      <w:r w:rsidRPr="00CD7B09">
        <w:rPr>
          <w:rFonts w:ascii="Century Gothic" w:hAnsi="Century Gothic"/>
          <w:sz w:val="22"/>
          <w:szCs w:val="22"/>
          <w:vertAlign w:val="superscript"/>
        </w:rPr>
        <w:footnoteReference w:id="5"/>
      </w:r>
      <w:r w:rsidRPr="00CD7B09">
        <w:rPr>
          <w:rFonts w:ascii="Century Gothic" w:eastAsia="Helvetica" w:hAnsi="Century Gothic" w:cs="Helvetica"/>
          <w:sz w:val="22"/>
          <w:szCs w:val="22"/>
        </w:rPr>
        <w:t>”</w:t>
      </w:r>
      <w:r w:rsidRPr="00CD7B09">
        <w:rPr>
          <w:rFonts w:ascii="Century Gothic" w:hAnsi="Century Gothic"/>
          <w:sz w:val="22"/>
          <w:szCs w:val="22"/>
        </w:rPr>
        <w:t xml:space="preserve">.  </w:t>
      </w:r>
    </w:p>
    <w:p w14:paraId="5FDB54F4" w14:textId="77777777" w:rsidR="00E61C26" w:rsidRPr="00CD7B09" w:rsidRDefault="00E61C26"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hAnsi="Century Gothic"/>
          <w:sz w:val="22"/>
          <w:szCs w:val="22"/>
        </w:rPr>
      </w:pPr>
    </w:p>
    <w:p w14:paraId="57E51340" w14:textId="778692C3" w:rsidR="00642474" w:rsidRPr="00CD7B09" w:rsidRDefault="00642474"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hAnsi="Century Gothic"/>
          <w:sz w:val="22"/>
          <w:szCs w:val="22"/>
        </w:rPr>
      </w:pPr>
      <w:r w:rsidRPr="00CD7B09">
        <w:rPr>
          <w:rFonts w:ascii="Century Gothic" w:hAnsi="Century Gothic"/>
          <w:sz w:val="22"/>
          <w:szCs w:val="22"/>
        </w:rPr>
        <w:t xml:space="preserve">Con el fin de </w:t>
      </w:r>
      <w:r w:rsidR="00E61C26" w:rsidRPr="00CD7B09">
        <w:rPr>
          <w:rFonts w:ascii="Century Gothic" w:hAnsi="Century Gothic"/>
          <w:sz w:val="22"/>
          <w:szCs w:val="22"/>
        </w:rPr>
        <w:t>superar el escenario de carencia de v</w:t>
      </w:r>
      <w:r w:rsidR="00E61C26" w:rsidRPr="00CD7B09">
        <w:rPr>
          <w:rFonts w:ascii="Century Gothic" w:eastAsia="Helvetica" w:hAnsi="Century Gothic" w:cs="Helvetica"/>
          <w:sz w:val="22"/>
          <w:szCs w:val="22"/>
        </w:rPr>
        <w:t>í</w:t>
      </w:r>
      <w:r w:rsidR="00E61C26" w:rsidRPr="00CD7B09">
        <w:rPr>
          <w:rFonts w:ascii="Century Gothic" w:hAnsi="Century Gothic"/>
          <w:sz w:val="22"/>
          <w:szCs w:val="22"/>
        </w:rPr>
        <w:t>as institucionales y el va</w:t>
      </w:r>
      <w:r w:rsidR="00E61C26" w:rsidRPr="00CD7B09">
        <w:rPr>
          <w:rFonts w:ascii="Century Gothic" w:eastAsia="Helvetica" w:hAnsi="Century Gothic" w:cs="Helvetica"/>
          <w:sz w:val="22"/>
          <w:szCs w:val="22"/>
        </w:rPr>
        <w:t xml:space="preserve">cío en la provisión de servicios judiciales, </w:t>
      </w:r>
      <w:r w:rsidRPr="00CD7B09">
        <w:rPr>
          <w:rFonts w:ascii="Century Gothic" w:eastAsia="Helvetica" w:hAnsi="Century Gothic" w:cs="Helvetica"/>
          <w:sz w:val="22"/>
          <w:szCs w:val="22"/>
        </w:rPr>
        <w:t xml:space="preserve">el </w:t>
      </w:r>
      <w:r w:rsidR="00E85348" w:rsidRPr="00CD7B09">
        <w:rPr>
          <w:rFonts w:ascii="Century Gothic" w:eastAsia="Helvetica" w:hAnsi="Century Gothic" w:cs="Helvetica"/>
          <w:sz w:val="22"/>
          <w:szCs w:val="22"/>
        </w:rPr>
        <w:t xml:space="preserve">presente </w:t>
      </w:r>
      <w:r w:rsidRPr="00CD7B09">
        <w:rPr>
          <w:rFonts w:ascii="Century Gothic" w:eastAsia="Helvetica" w:hAnsi="Century Gothic" w:cs="Helvetica"/>
          <w:sz w:val="22"/>
          <w:szCs w:val="22"/>
        </w:rPr>
        <w:t>proyecto de ley</w:t>
      </w:r>
      <w:r w:rsidR="00E85348" w:rsidRPr="00CD7B09">
        <w:rPr>
          <w:rFonts w:ascii="Century Gothic" w:eastAsia="Helvetica" w:hAnsi="Century Gothic" w:cs="Helvetica"/>
          <w:sz w:val="22"/>
          <w:szCs w:val="22"/>
        </w:rPr>
        <w:t xml:space="preserve"> estatutaria</w:t>
      </w:r>
      <w:r w:rsidRPr="00CD7B09">
        <w:rPr>
          <w:rFonts w:ascii="Century Gothic" w:eastAsia="Helvetica" w:hAnsi="Century Gothic" w:cs="Helvetica"/>
          <w:sz w:val="22"/>
          <w:szCs w:val="22"/>
        </w:rPr>
        <w:t xml:space="preserve"> crea la especialidad agraria y rural en la jurisdicción ordinaria y en la jurisdicción contencioso administrativa. Además del arreglo institucional, establece los asuntos que serán de competencia de estas autoridades jur</w:t>
      </w:r>
      <w:r w:rsidRPr="00CD7B09">
        <w:rPr>
          <w:rFonts w:ascii="Century Gothic" w:hAnsi="Century Gothic"/>
          <w:sz w:val="22"/>
          <w:szCs w:val="22"/>
        </w:rPr>
        <w:t>isdiccionales y fija el procedimiento para resolver las controversias que surjan a prop</w:t>
      </w:r>
      <w:r w:rsidRPr="00CD7B09">
        <w:rPr>
          <w:rFonts w:ascii="Century Gothic" w:eastAsia="Helvetica" w:hAnsi="Century Gothic" w:cs="Helvetica"/>
          <w:sz w:val="22"/>
          <w:szCs w:val="22"/>
        </w:rPr>
        <w:t>ósito de los asuntos de su competencia.</w:t>
      </w:r>
    </w:p>
    <w:p w14:paraId="0A205732" w14:textId="77777777" w:rsidR="00642474" w:rsidRPr="00CD7B09" w:rsidRDefault="00642474"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hAnsi="Century Gothic"/>
          <w:sz w:val="22"/>
          <w:szCs w:val="22"/>
        </w:rPr>
      </w:pPr>
    </w:p>
    <w:p w14:paraId="15BDBD95" w14:textId="4C71840F" w:rsidR="00642474" w:rsidRPr="00CD7B09" w:rsidRDefault="00642474"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hAnsi="Century Gothic"/>
          <w:sz w:val="22"/>
          <w:szCs w:val="22"/>
        </w:rPr>
      </w:pPr>
      <w:r w:rsidRPr="00CD7B09">
        <w:rPr>
          <w:rFonts w:ascii="Century Gothic" w:hAnsi="Century Gothic"/>
          <w:sz w:val="22"/>
          <w:szCs w:val="22"/>
        </w:rPr>
        <w:t>Adem</w:t>
      </w:r>
      <w:r w:rsidRPr="00CD7B09">
        <w:rPr>
          <w:rFonts w:ascii="Century Gothic" w:eastAsia="Helvetica" w:hAnsi="Century Gothic" w:cs="Helvetica"/>
          <w:sz w:val="22"/>
          <w:szCs w:val="22"/>
        </w:rPr>
        <w:t>ás de la novedad de crear una especialidad para resolver los conflictos propios de la ruralidad, el presente proyecto dispon</w:t>
      </w:r>
      <w:r w:rsidRPr="00CD7B09">
        <w:rPr>
          <w:rFonts w:ascii="Century Gothic" w:hAnsi="Century Gothic"/>
          <w:sz w:val="22"/>
          <w:szCs w:val="22"/>
        </w:rPr>
        <w:t>e de varias herramientas que buscan equilibrar la desigualdad en las relaciones de uso y tenencia de la tierra y de acceso a la administraci</w:t>
      </w:r>
      <w:r w:rsidRPr="00CD7B09">
        <w:rPr>
          <w:rFonts w:ascii="Century Gothic" w:eastAsia="Helvetica" w:hAnsi="Century Gothic" w:cs="Helvetica"/>
          <w:sz w:val="22"/>
          <w:szCs w:val="22"/>
        </w:rPr>
        <w:t>ón de justicia. Al respecto, por ejemplo, dispone la creación de d</w:t>
      </w:r>
      <w:r w:rsidR="00544E6E" w:rsidRPr="00CD7B09">
        <w:rPr>
          <w:rFonts w:ascii="Century Gothic" w:eastAsia="Helvetica" w:hAnsi="Century Gothic" w:cs="Helvetica"/>
          <w:sz w:val="22"/>
          <w:szCs w:val="22"/>
        </w:rPr>
        <w:t>espachos judiciales itinerante; fortalece la capacitación en derecho agrario y rural de dichos despachos; facilita el acceso a la administración de justicia y el entendimiento por medio de la figura de los facilitadores como personas de la comunidad que asesoran la ruta del procedimiento agrario, entre otros</w:t>
      </w:r>
      <w:r w:rsidRPr="00CD7B09">
        <w:rPr>
          <w:rFonts w:ascii="Century Gothic" w:eastAsia="Helvetica" w:hAnsi="Century Gothic" w:cs="Helvetica"/>
          <w:sz w:val="22"/>
          <w:szCs w:val="22"/>
        </w:rPr>
        <w:t>. Adicionalmente, hace énfa</w:t>
      </w:r>
      <w:r w:rsidRPr="00CD7B09">
        <w:rPr>
          <w:rFonts w:ascii="Century Gothic" w:hAnsi="Century Gothic"/>
          <w:sz w:val="22"/>
          <w:szCs w:val="22"/>
        </w:rPr>
        <w:t>sis en la disponibilidad de mecanismos alternativos de resoluci</w:t>
      </w:r>
      <w:r w:rsidRPr="00CD7B09">
        <w:rPr>
          <w:rFonts w:ascii="Century Gothic" w:eastAsia="Helvetica" w:hAnsi="Century Gothic" w:cs="Helvetica"/>
          <w:sz w:val="22"/>
          <w:szCs w:val="22"/>
        </w:rPr>
        <w:t>ón de conflictos atendiendo a la naturaleza de muchos conflictos en la ruralidad y a la deseabilidad de evitar el escalamiento de las controversias.</w:t>
      </w:r>
    </w:p>
    <w:p w14:paraId="2B1EBB3F" w14:textId="77777777" w:rsidR="00642474" w:rsidRPr="00CD7B09" w:rsidRDefault="00642474"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hAnsi="Century Gothic"/>
          <w:sz w:val="22"/>
          <w:szCs w:val="22"/>
        </w:rPr>
      </w:pPr>
    </w:p>
    <w:p w14:paraId="5502299D" w14:textId="77777777" w:rsidR="00642474" w:rsidRPr="00CD7B09" w:rsidRDefault="00642474"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hAnsi="Century Gothic"/>
          <w:sz w:val="22"/>
          <w:szCs w:val="22"/>
        </w:rPr>
      </w:pPr>
      <w:r w:rsidRPr="00CD7B09">
        <w:rPr>
          <w:rFonts w:ascii="Century Gothic" w:hAnsi="Century Gothic"/>
          <w:sz w:val="22"/>
          <w:szCs w:val="22"/>
        </w:rPr>
        <w:t>En suma, es un proyecto que busca retomar varios intentos fallidos por dar una respuesta institucional a los conflictos propios de la ruralidad, mediante herramientas novedosas que garantizan el derecho al acceso a la justicia de los ciudadanos de las zonas rurales.</w:t>
      </w:r>
    </w:p>
    <w:p w14:paraId="4F03620C" w14:textId="77777777" w:rsidR="00642474" w:rsidRPr="00CD7B09" w:rsidRDefault="00642474"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Century Gothic" w:hAnsi="Century Gothic"/>
          <w:sz w:val="22"/>
          <w:szCs w:val="22"/>
        </w:rPr>
      </w:pPr>
    </w:p>
    <w:p w14:paraId="4FD5436B" w14:textId="77777777" w:rsidR="00366170" w:rsidRPr="00CD7B09" w:rsidRDefault="001D1B91" w:rsidP="00E85348">
      <w:pPr>
        <w:pStyle w:val="Normal0"/>
        <w:numPr>
          <w:ilvl w:val="0"/>
          <w:numId w:val="1"/>
        </w:numPr>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hAnsi="Century Gothic"/>
          <w:b/>
          <w:sz w:val="22"/>
          <w:szCs w:val="22"/>
        </w:rPr>
      </w:pPr>
      <w:r w:rsidRPr="00CD7B09">
        <w:rPr>
          <w:rFonts w:ascii="Century Gothic" w:hAnsi="Century Gothic"/>
          <w:b/>
          <w:sz w:val="22"/>
          <w:szCs w:val="22"/>
        </w:rPr>
        <w:t>ANTECEDENTES DE ESTE PROYECTO DE LEY</w:t>
      </w:r>
    </w:p>
    <w:p w14:paraId="438850A3" w14:textId="77777777" w:rsidR="001D1B91" w:rsidRPr="00CD7B09" w:rsidRDefault="001D1B91" w:rsidP="00E8534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hAnsi="Century Gothic"/>
          <w:b/>
          <w:sz w:val="22"/>
          <w:szCs w:val="22"/>
        </w:rPr>
      </w:pPr>
    </w:p>
    <w:p w14:paraId="5F8A6537" w14:textId="5B5B20F2" w:rsidR="00806199" w:rsidRPr="00CD7B09" w:rsidRDefault="00096249" w:rsidP="00E8534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eastAsia="Helvetica" w:hAnsi="Century Gothic" w:cs="Helvetica"/>
          <w:sz w:val="22"/>
          <w:szCs w:val="22"/>
        </w:rPr>
      </w:pPr>
      <w:r w:rsidRPr="00CD7B09">
        <w:rPr>
          <w:rFonts w:ascii="Century Gothic" w:hAnsi="Century Gothic"/>
          <w:sz w:val="22"/>
          <w:szCs w:val="22"/>
        </w:rPr>
        <w:t xml:space="preserve">El Proyecto de Ley Estatutaria tiene su antecedente inmediato en el PLE 134/20C </w:t>
      </w:r>
      <w:r w:rsidRPr="00CD7B09">
        <w:rPr>
          <w:rFonts w:ascii="Century Gothic" w:eastAsia="Helvetica" w:hAnsi="Century Gothic" w:cs="Helvetica"/>
          <w:sz w:val="22"/>
          <w:szCs w:val="22"/>
        </w:rPr>
        <w:t>–</w:t>
      </w:r>
      <w:r w:rsidRPr="00CD7B09">
        <w:rPr>
          <w:rFonts w:ascii="Century Gothic" w:hAnsi="Century Gothic"/>
          <w:sz w:val="22"/>
          <w:szCs w:val="22"/>
        </w:rPr>
        <w:t xml:space="preserve"> 395/21S</w:t>
      </w:r>
      <w:r w:rsidR="00806199" w:rsidRPr="00CD7B09">
        <w:rPr>
          <w:rFonts w:ascii="Century Gothic" w:hAnsi="Century Gothic"/>
          <w:sz w:val="22"/>
          <w:szCs w:val="22"/>
        </w:rPr>
        <w:t>, radicado la legislatura pasada</w:t>
      </w:r>
      <w:r w:rsidR="006800D0" w:rsidRPr="00CD7B09">
        <w:rPr>
          <w:rFonts w:ascii="Century Gothic" w:hAnsi="Century Gothic"/>
          <w:sz w:val="22"/>
          <w:szCs w:val="22"/>
        </w:rPr>
        <w:t xml:space="preserve"> por la entonces Ministra de Justicia Margarita Cabello</w:t>
      </w:r>
      <w:r w:rsidR="00806199" w:rsidRPr="00CD7B09">
        <w:rPr>
          <w:rFonts w:ascii="Century Gothic" w:hAnsi="Century Gothic"/>
          <w:sz w:val="22"/>
          <w:szCs w:val="22"/>
        </w:rPr>
        <w:t xml:space="preserve"> y </w:t>
      </w:r>
      <w:r w:rsidRPr="00CD7B09">
        <w:rPr>
          <w:rFonts w:ascii="Century Gothic" w:eastAsia="Helvetica" w:hAnsi="Century Gothic" w:cs="Helvetica"/>
          <w:sz w:val="22"/>
          <w:szCs w:val="22"/>
        </w:rPr>
        <w:t>también titulado “</w:t>
      </w:r>
      <w:r w:rsidRPr="00CD7B09">
        <w:rPr>
          <w:rFonts w:ascii="Century Gothic" w:eastAsia="Helvetica" w:hAnsi="Century Gothic" w:cs="Helvetica"/>
          <w:i/>
          <w:sz w:val="22"/>
          <w:szCs w:val="22"/>
        </w:rPr>
        <w:t>Por la cual se crea una especialidad judicial agraria y rural, se establecen los mecanismos para la resolución de controversias y litigios agrarios y rurales y se dictan otras disposiciones</w:t>
      </w:r>
      <w:r w:rsidRPr="00CD7B09">
        <w:rPr>
          <w:rFonts w:ascii="Century Gothic" w:eastAsia="Helvetica" w:hAnsi="Century Gothic" w:cs="Helvetica"/>
          <w:sz w:val="22"/>
          <w:szCs w:val="22"/>
        </w:rPr>
        <w:t xml:space="preserve">”. </w:t>
      </w:r>
      <w:r w:rsidR="00E85348" w:rsidRPr="00CD7B09">
        <w:rPr>
          <w:rFonts w:ascii="Century Gothic" w:eastAsia="Helvetica" w:hAnsi="Century Gothic" w:cs="Helvetica"/>
          <w:sz w:val="22"/>
          <w:szCs w:val="22"/>
        </w:rPr>
        <w:t>Aquel</w:t>
      </w:r>
      <w:r w:rsidR="00806199" w:rsidRPr="00CD7B09">
        <w:rPr>
          <w:rFonts w:ascii="Century Gothic" w:eastAsia="Helvetica" w:hAnsi="Century Gothic" w:cs="Helvetica"/>
          <w:sz w:val="22"/>
          <w:szCs w:val="22"/>
        </w:rPr>
        <w:t xml:space="preserve"> proyecto inició su debate en el primer peri</w:t>
      </w:r>
      <w:r w:rsidR="00E85348" w:rsidRPr="00CD7B09">
        <w:rPr>
          <w:rFonts w:ascii="Century Gothic" w:eastAsia="Helvetica" w:hAnsi="Century Gothic" w:cs="Helvetica"/>
          <w:sz w:val="22"/>
          <w:szCs w:val="22"/>
        </w:rPr>
        <w:t>odo de la legislatura 2020-2021, siguió en el segundo periodo, y</w:t>
      </w:r>
      <w:r w:rsidR="008941CF" w:rsidRPr="00CD7B09">
        <w:rPr>
          <w:rFonts w:ascii="Century Gothic" w:eastAsia="Helvetica" w:hAnsi="Century Gothic" w:cs="Helvetica"/>
          <w:sz w:val="22"/>
          <w:szCs w:val="22"/>
        </w:rPr>
        <w:t xml:space="preserve"> alcanzó a ser debatido en tres de los cuatro debates necesarios.</w:t>
      </w:r>
    </w:p>
    <w:p w14:paraId="5B59CD50" w14:textId="77777777" w:rsidR="008941CF" w:rsidRPr="00CD7B09" w:rsidRDefault="008941CF" w:rsidP="00E8534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eastAsia="Helvetica" w:hAnsi="Century Gothic" w:cs="Helvetica"/>
          <w:sz w:val="22"/>
          <w:szCs w:val="22"/>
        </w:rPr>
      </w:pPr>
      <w:r w:rsidRPr="00CD7B09">
        <w:rPr>
          <w:rFonts w:ascii="Century Gothic" w:eastAsia="Helvetica" w:hAnsi="Century Gothic" w:cs="Helvetica"/>
          <w:sz w:val="22"/>
          <w:szCs w:val="22"/>
        </w:rPr>
        <w:br/>
        <w:t xml:space="preserve">En su trámite por el Congreso de la República, el anterior proyecto de ley convocó a sectores diversos en los espacios de audiencias públicas en ambas cámaras: una audiencia pública en la Comisión Primera </w:t>
      </w:r>
      <w:r w:rsidRPr="00CD7B09">
        <w:rPr>
          <w:rFonts w:ascii="Century Gothic" w:eastAsia="Helvetica" w:hAnsi="Century Gothic" w:cs="Helvetica"/>
          <w:sz w:val="22"/>
          <w:szCs w:val="22"/>
          <w:lang w:val="es-CO"/>
        </w:rPr>
        <w:t>de la Cámara de Representantes el 5 de octubre del 2020, y un Foro Ciudadano llevado a cabo en el Senado el 30 de abril de 2021. En sus intervenciones, los participantes coincidieron en tres razones por las cuales consideraron necesario aprobar el proyecto que crea una especialidad agraria en la justicia ordinaria.</w:t>
      </w:r>
    </w:p>
    <w:p w14:paraId="1F266A34" w14:textId="77777777" w:rsidR="008941CF" w:rsidRPr="00CD7B09" w:rsidRDefault="008941CF" w:rsidP="00E85348">
      <w:pPr>
        <w:jc w:val="both"/>
        <w:rPr>
          <w:rFonts w:ascii="Century Gothic" w:hAnsi="Century Gothic"/>
          <w:sz w:val="22"/>
          <w:szCs w:val="22"/>
          <w:lang w:val="es-CO"/>
        </w:rPr>
      </w:pPr>
    </w:p>
    <w:p w14:paraId="1FC51533" w14:textId="77777777" w:rsidR="008941CF" w:rsidRPr="00CD7B09" w:rsidRDefault="008941CF" w:rsidP="00E85348">
      <w:pPr>
        <w:jc w:val="both"/>
        <w:rPr>
          <w:rFonts w:ascii="Century Gothic" w:hAnsi="Century Gothic"/>
          <w:sz w:val="22"/>
          <w:szCs w:val="22"/>
          <w:lang w:val="es-CO"/>
        </w:rPr>
      </w:pPr>
      <w:r w:rsidRPr="00CD7B09">
        <w:rPr>
          <w:rFonts w:ascii="Century Gothic" w:hAnsi="Century Gothic"/>
          <w:sz w:val="22"/>
          <w:szCs w:val="22"/>
          <w:lang w:val="es-CO"/>
        </w:rPr>
        <w:t>El argumento con mayor acogida entre los participantes fue la deuda hist</w:t>
      </w:r>
      <w:r w:rsidRPr="00CD7B09">
        <w:rPr>
          <w:rFonts w:ascii="Century Gothic" w:eastAsia="Helvetica" w:hAnsi="Century Gothic" w:cs="Helvetica"/>
          <w:sz w:val="22"/>
          <w:szCs w:val="22"/>
          <w:lang w:val="es-CO"/>
        </w:rPr>
        <w:t xml:space="preserve">órica que tiene el Estado con la población rural del país. Según las intervenciones, el acceso a la justicia es un derecho fundamental constantemente vulnerado en territorio rural debido a la poca cobertura institucional en dichas zonas. De </w:t>
      </w:r>
      <w:r w:rsidRPr="00CD7B09">
        <w:rPr>
          <w:rFonts w:ascii="Century Gothic" w:hAnsi="Century Gothic"/>
          <w:sz w:val="22"/>
          <w:szCs w:val="22"/>
          <w:lang w:val="es-CO"/>
        </w:rPr>
        <w:t xml:space="preserve">acuerdo con el Consejo Superior de la Judicatura </w:t>
      </w:r>
      <w:r w:rsidRPr="00CD7B09">
        <w:rPr>
          <w:rFonts w:ascii="Century Gothic" w:eastAsia="Helvetica" w:hAnsi="Century Gothic" w:cs="Helvetica"/>
          <w:sz w:val="22"/>
          <w:szCs w:val="22"/>
          <w:lang w:val="es-CO"/>
        </w:rPr>
        <w:t>“mientras que a nivel nacional hay 11 jueces por cada 100.000 habitantes, en los municipios sólo hay 6 jueces por cada 100.000 habitantes” (Andrés García, 2021). En ese sentido, el Proyecto de Ley responderí</w:t>
      </w:r>
      <w:r w:rsidRPr="00CD7B09">
        <w:rPr>
          <w:rFonts w:ascii="Century Gothic" w:hAnsi="Century Gothic"/>
          <w:sz w:val="22"/>
          <w:szCs w:val="22"/>
          <w:lang w:val="es-CO"/>
        </w:rPr>
        <w:t>a a dicha falencia al aumentar la oferta institucional en el territorio y, en consecuencia, garantizar el acceso a la justicia material, permitiendo as</w:t>
      </w:r>
      <w:r w:rsidRPr="00CD7B09">
        <w:rPr>
          <w:rFonts w:ascii="Century Gothic" w:eastAsia="Helvetica" w:hAnsi="Century Gothic" w:cs="Helvetica"/>
          <w:sz w:val="22"/>
          <w:szCs w:val="22"/>
          <w:lang w:val="es-CO"/>
        </w:rPr>
        <w:t>í la resolución de conflictos respecto a la tenencia y propiedad de la tierra. Adicionalmente, se destacó</w:t>
      </w:r>
      <w:r w:rsidRPr="00CD7B09">
        <w:rPr>
          <w:rFonts w:ascii="Century Gothic" w:hAnsi="Century Gothic"/>
          <w:sz w:val="22"/>
          <w:szCs w:val="22"/>
          <w:lang w:val="es-CO"/>
        </w:rPr>
        <w:t xml:space="preserve"> que el desarrollo de la justicia agraria permitir</w:t>
      </w:r>
      <w:r w:rsidRPr="00CD7B09">
        <w:rPr>
          <w:rFonts w:ascii="Century Gothic" w:eastAsia="Helvetica" w:hAnsi="Century Gothic" w:cs="Helvetica"/>
          <w:sz w:val="22"/>
          <w:szCs w:val="22"/>
          <w:lang w:val="es-CO"/>
        </w:rPr>
        <w:t xml:space="preserve">ía cumplir con la obligación del Acuerdo Escazú consistente en garantizar el acceso a la justicia ambiental, esto toda vez que son materias correlacionadas. </w:t>
      </w:r>
    </w:p>
    <w:p w14:paraId="66CB03DE" w14:textId="77777777" w:rsidR="008941CF" w:rsidRPr="00CD7B09" w:rsidRDefault="008941CF" w:rsidP="00E85348">
      <w:pPr>
        <w:jc w:val="both"/>
        <w:rPr>
          <w:rFonts w:ascii="Century Gothic" w:hAnsi="Century Gothic"/>
          <w:sz w:val="22"/>
          <w:szCs w:val="22"/>
          <w:lang w:val="es-CO"/>
        </w:rPr>
      </w:pPr>
    </w:p>
    <w:p w14:paraId="15603A49" w14:textId="77777777" w:rsidR="008941CF" w:rsidRPr="00CD7B09" w:rsidRDefault="008941CF" w:rsidP="00E85348">
      <w:pPr>
        <w:jc w:val="both"/>
        <w:rPr>
          <w:rFonts w:ascii="Century Gothic" w:hAnsi="Century Gothic"/>
          <w:sz w:val="22"/>
          <w:szCs w:val="22"/>
          <w:lang w:val="es-CO"/>
        </w:rPr>
      </w:pPr>
      <w:r w:rsidRPr="00CD7B09">
        <w:rPr>
          <w:rFonts w:ascii="Century Gothic" w:hAnsi="Century Gothic"/>
          <w:sz w:val="22"/>
          <w:szCs w:val="22"/>
          <w:lang w:val="es-CO"/>
        </w:rPr>
        <w:t>Un segundo punto relevante fue la necesidad de implementar una especialidad judicial ajustada al contexto social colombiano. Los episodios de violencia que destacan en la historia del pa</w:t>
      </w:r>
      <w:r w:rsidRPr="00CD7B09">
        <w:rPr>
          <w:rFonts w:ascii="Century Gothic" w:eastAsia="Helvetica" w:hAnsi="Century Gothic" w:cs="Helvetica"/>
          <w:sz w:val="22"/>
          <w:szCs w:val="22"/>
          <w:lang w:val="es-CO"/>
        </w:rPr>
        <w:t>ís, particularmente en zona rural, encuentran una de sus causales en los conflictos respecto a la tenencia de la tier</w:t>
      </w:r>
      <w:r w:rsidRPr="00CD7B09">
        <w:rPr>
          <w:rFonts w:ascii="Century Gothic" w:hAnsi="Century Gothic"/>
          <w:sz w:val="22"/>
          <w:szCs w:val="22"/>
          <w:lang w:val="es-CO"/>
        </w:rPr>
        <w:t>ra. En el marco de dicha violencia, se evidenciaron posiciones de poder y de desventaja en la lucha por la propiedad de la tierra. En ese sentido, uno de los principales inconvenientes en la resoluci</w:t>
      </w:r>
      <w:r w:rsidRPr="00CD7B09">
        <w:rPr>
          <w:rFonts w:ascii="Century Gothic" w:eastAsia="Helvetica" w:hAnsi="Century Gothic" w:cs="Helvetica"/>
          <w:sz w:val="22"/>
          <w:szCs w:val="22"/>
          <w:lang w:val="es-CO"/>
        </w:rPr>
        <w:t xml:space="preserve">ón de conflictos agrarios por medio de la justicia civil </w:t>
      </w:r>
      <w:r w:rsidRPr="00CD7B09">
        <w:rPr>
          <w:rFonts w:ascii="Century Gothic" w:hAnsi="Century Gothic"/>
          <w:sz w:val="22"/>
          <w:szCs w:val="22"/>
          <w:lang w:val="es-CO"/>
        </w:rPr>
        <w:t>es la asunci</w:t>
      </w:r>
      <w:r w:rsidRPr="00CD7B09">
        <w:rPr>
          <w:rFonts w:ascii="Century Gothic" w:eastAsia="Helvetica" w:hAnsi="Century Gothic" w:cs="Helvetica"/>
          <w:sz w:val="22"/>
          <w:szCs w:val="22"/>
          <w:lang w:val="es-CO"/>
        </w:rPr>
        <w:t>ón de partes iguales dentro del proceso. La justicia agraria permitiría tener en cuenta la relación desigual que se presenta en este tipo de conflictos (Aura Bolívar). Adicionalmente, los exponentes argumentaron que un juez especializado en mat</w:t>
      </w:r>
      <w:r w:rsidRPr="00CD7B09">
        <w:rPr>
          <w:rFonts w:ascii="Century Gothic" w:hAnsi="Century Gothic"/>
          <w:sz w:val="22"/>
          <w:szCs w:val="22"/>
          <w:lang w:val="es-CO"/>
        </w:rPr>
        <w:t>eria agraria estar</w:t>
      </w:r>
      <w:r w:rsidRPr="00CD7B09">
        <w:rPr>
          <w:rFonts w:ascii="Century Gothic" w:eastAsia="Helvetica" w:hAnsi="Century Gothic" w:cs="Helvetica"/>
          <w:sz w:val="22"/>
          <w:szCs w:val="22"/>
          <w:lang w:val="es-CO"/>
        </w:rPr>
        <w:t>ía particularmente capacitado para aplicar la ley en el marco de la vulneración constante de derechos fundamentales entorno a dichos conflictos.</w:t>
      </w:r>
    </w:p>
    <w:p w14:paraId="27A8C5CF" w14:textId="77777777" w:rsidR="008941CF" w:rsidRPr="00CD7B09" w:rsidRDefault="008941CF" w:rsidP="00E85348">
      <w:pPr>
        <w:jc w:val="both"/>
        <w:rPr>
          <w:rFonts w:ascii="Century Gothic" w:hAnsi="Century Gothic"/>
          <w:sz w:val="22"/>
          <w:szCs w:val="22"/>
          <w:lang w:val="es-CO"/>
        </w:rPr>
      </w:pPr>
    </w:p>
    <w:p w14:paraId="10B94E06" w14:textId="77777777" w:rsidR="008941CF" w:rsidRPr="00CD7B09" w:rsidRDefault="008941CF" w:rsidP="00E85348">
      <w:pPr>
        <w:jc w:val="both"/>
        <w:rPr>
          <w:rFonts w:ascii="Century Gothic" w:hAnsi="Century Gothic"/>
          <w:sz w:val="22"/>
          <w:szCs w:val="22"/>
          <w:lang w:val="es-CO"/>
        </w:rPr>
      </w:pPr>
      <w:r w:rsidRPr="00CD7B09">
        <w:rPr>
          <w:rFonts w:ascii="Century Gothic" w:hAnsi="Century Gothic"/>
          <w:sz w:val="22"/>
          <w:szCs w:val="22"/>
          <w:lang w:val="es-CO"/>
        </w:rPr>
        <w:t xml:space="preserve">Por </w:t>
      </w:r>
      <w:r w:rsidRPr="00CD7B09">
        <w:rPr>
          <w:rFonts w:ascii="Century Gothic" w:eastAsia="Helvetica" w:hAnsi="Century Gothic" w:cs="Helvetica"/>
          <w:sz w:val="22"/>
          <w:szCs w:val="22"/>
          <w:lang w:val="es-CO"/>
        </w:rPr>
        <w:t>último, se identificó que la especialidad de la justicia en materia agraria daría paso a</w:t>
      </w:r>
      <w:r w:rsidRPr="00CD7B09">
        <w:rPr>
          <w:rFonts w:ascii="Century Gothic" w:hAnsi="Century Gothic"/>
          <w:sz w:val="22"/>
          <w:szCs w:val="22"/>
          <w:lang w:val="es-CO"/>
        </w:rPr>
        <w:t xml:space="preserve"> distintos efectos de car</w:t>
      </w:r>
      <w:r w:rsidRPr="00CD7B09">
        <w:rPr>
          <w:rFonts w:ascii="Century Gothic" w:eastAsia="Helvetica" w:hAnsi="Century Gothic" w:cs="Helvetica"/>
          <w:sz w:val="22"/>
          <w:szCs w:val="22"/>
          <w:lang w:val="es-CO"/>
        </w:rPr>
        <w:t>ácter económico. Según lo expuesto por Guillermo Otálora, abogado constitucionalista, el acceso a la justicia, la clarificación en los títulos de pertenencia y el ordenamiento de los registros de catastro son consecuencias de una j</w:t>
      </w:r>
      <w:r w:rsidRPr="00CD7B09">
        <w:rPr>
          <w:rFonts w:ascii="Century Gothic" w:hAnsi="Century Gothic"/>
          <w:sz w:val="22"/>
          <w:szCs w:val="22"/>
          <w:lang w:val="es-CO"/>
        </w:rPr>
        <w:t>usticia especial agraria que garantiza la seguridad jur</w:t>
      </w:r>
      <w:r w:rsidRPr="00CD7B09">
        <w:rPr>
          <w:rFonts w:ascii="Century Gothic" w:eastAsia="Helvetica" w:hAnsi="Century Gothic" w:cs="Helvetica"/>
          <w:sz w:val="22"/>
          <w:szCs w:val="22"/>
          <w:lang w:val="es-CO"/>
        </w:rPr>
        <w:t xml:space="preserve">ídica de los emprendedores campesinos y demás interesados en el mercado agrario, lo cual impulsa el desarrollo del campo. De la mano con dicha postura, Miguel Samper, de la organización Gestión Rural, </w:t>
      </w:r>
      <w:r w:rsidRPr="00CD7B09">
        <w:rPr>
          <w:rFonts w:ascii="Century Gothic" w:hAnsi="Century Gothic"/>
          <w:sz w:val="22"/>
          <w:szCs w:val="22"/>
          <w:lang w:val="es-CO"/>
        </w:rPr>
        <w:t>destac</w:t>
      </w:r>
      <w:r w:rsidRPr="00CD7B09">
        <w:rPr>
          <w:rFonts w:ascii="Century Gothic" w:eastAsia="Helvetica" w:hAnsi="Century Gothic" w:cs="Helvetica"/>
          <w:sz w:val="22"/>
          <w:szCs w:val="22"/>
          <w:lang w:val="es-CO"/>
        </w:rPr>
        <w:t>ó el papel que llevan a cabo los jueces especializados en promover la estabilidad de la gestión desarrollada por las entidades gubernamentales en materia agraria, lo que, a su vez, garantiza la seguridad jurídica mencionada por el experto constitucio</w:t>
      </w:r>
      <w:r w:rsidRPr="00CD7B09">
        <w:rPr>
          <w:rFonts w:ascii="Century Gothic" w:hAnsi="Century Gothic"/>
          <w:sz w:val="22"/>
          <w:szCs w:val="22"/>
          <w:lang w:val="es-CO"/>
        </w:rPr>
        <w:t xml:space="preserve">nalista. </w:t>
      </w:r>
    </w:p>
    <w:p w14:paraId="2FF2FC05" w14:textId="77777777" w:rsidR="008941CF" w:rsidRPr="00CD7B09" w:rsidRDefault="008941CF" w:rsidP="00E8534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eastAsia="Helvetica" w:hAnsi="Century Gothic" w:cs="Helvetica"/>
          <w:sz w:val="22"/>
          <w:szCs w:val="22"/>
        </w:rPr>
      </w:pPr>
    </w:p>
    <w:p w14:paraId="57D59A50" w14:textId="1C2F6439" w:rsidR="0041410F" w:rsidRPr="00CD7B09" w:rsidRDefault="008955C9" w:rsidP="00E8534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eastAsia="Helvetica" w:hAnsi="Century Gothic" w:cs="Helvetica"/>
          <w:sz w:val="22"/>
          <w:szCs w:val="22"/>
        </w:rPr>
      </w:pPr>
      <w:r w:rsidRPr="00CD7B09">
        <w:rPr>
          <w:rFonts w:ascii="Century Gothic" w:eastAsia="Helvetica" w:hAnsi="Century Gothic" w:cs="Helvetica"/>
          <w:sz w:val="22"/>
          <w:szCs w:val="22"/>
        </w:rPr>
        <w:t xml:space="preserve">El texto propuesto para el último debate del </w:t>
      </w:r>
      <w:r w:rsidR="00E85348" w:rsidRPr="00CD7B09">
        <w:rPr>
          <w:rFonts w:ascii="Century Gothic" w:eastAsia="Helvetica" w:hAnsi="Century Gothic" w:cs="Helvetica"/>
          <w:sz w:val="22"/>
          <w:szCs w:val="22"/>
        </w:rPr>
        <w:t>pasado proyecto de ley (</w:t>
      </w:r>
      <w:r w:rsidRPr="00CD7B09">
        <w:rPr>
          <w:rFonts w:ascii="Century Gothic" w:eastAsia="Helvetica" w:hAnsi="Century Gothic" w:cs="Helvetica"/>
          <w:sz w:val="22"/>
          <w:szCs w:val="22"/>
        </w:rPr>
        <w:t>PL</w:t>
      </w:r>
      <w:r w:rsidR="00E85348" w:rsidRPr="00CD7B09">
        <w:rPr>
          <w:rFonts w:ascii="Century Gothic" w:eastAsia="Helvetica" w:hAnsi="Century Gothic" w:cs="Helvetica"/>
          <w:sz w:val="22"/>
          <w:szCs w:val="22"/>
        </w:rPr>
        <w:t>E</w:t>
      </w:r>
      <w:r w:rsidRPr="00CD7B09">
        <w:rPr>
          <w:rFonts w:ascii="Century Gothic" w:eastAsia="Helvetica" w:hAnsi="Century Gothic" w:cs="Helvetica"/>
          <w:sz w:val="22"/>
          <w:szCs w:val="22"/>
        </w:rPr>
        <w:t xml:space="preserve"> 134/20C-</w:t>
      </w:r>
      <w:r w:rsidR="00E85348" w:rsidRPr="00CD7B09">
        <w:rPr>
          <w:rFonts w:ascii="Century Gothic" w:eastAsia="Helvetica" w:hAnsi="Century Gothic" w:cs="Helvetica"/>
          <w:sz w:val="22"/>
          <w:szCs w:val="22"/>
        </w:rPr>
        <w:t xml:space="preserve">395/21S) </w:t>
      </w:r>
      <w:r w:rsidRPr="00CD7B09">
        <w:rPr>
          <w:rFonts w:ascii="Century Gothic" w:eastAsia="Helvetica" w:hAnsi="Century Gothic" w:cs="Helvetica"/>
          <w:sz w:val="22"/>
          <w:szCs w:val="22"/>
        </w:rPr>
        <w:t>tuvo diversas conversaciones y ajustes a lo largo de las últimas semanas de discusión de la L</w:t>
      </w:r>
      <w:r w:rsidR="00B04545" w:rsidRPr="00CD7B09">
        <w:rPr>
          <w:rFonts w:ascii="Century Gothic" w:eastAsia="Helvetica" w:hAnsi="Century Gothic" w:cs="Helvetica"/>
          <w:sz w:val="22"/>
          <w:szCs w:val="22"/>
        </w:rPr>
        <w:t>egislatura 2020-2021. Así, el p</w:t>
      </w:r>
      <w:r w:rsidR="0041410F" w:rsidRPr="00CD7B09">
        <w:rPr>
          <w:rFonts w:ascii="Century Gothic" w:eastAsia="Helvetica" w:hAnsi="Century Gothic" w:cs="Helvetica"/>
          <w:sz w:val="22"/>
          <w:szCs w:val="22"/>
        </w:rPr>
        <w:t>asado 17</w:t>
      </w:r>
      <w:r w:rsidR="00B04545" w:rsidRPr="00CD7B09">
        <w:rPr>
          <w:rFonts w:ascii="Century Gothic" w:eastAsia="Helvetica" w:hAnsi="Century Gothic" w:cs="Helvetica"/>
          <w:sz w:val="22"/>
          <w:szCs w:val="22"/>
        </w:rPr>
        <w:t xml:space="preserve"> de junio</w:t>
      </w:r>
      <w:r w:rsidR="0041410F" w:rsidRPr="00CD7B09">
        <w:rPr>
          <w:rFonts w:ascii="Century Gothic" w:eastAsia="Helvetica" w:hAnsi="Century Gothic" w:cs="Helvetica"/>
          <w:sz w:val="22"/>
          <w:szCs w:val="22"/>
        </w:rPr>
        <w:t xml:space="preserve">, las ponentes de ese proyecto </w:t>
      </w:r>
      <w:r w:rsidR="00B04545" w:rsidRPr="00CD7B09">
        <w:rPr>
          <w:rFonts w:ascii="Century Gothic" w:eastAsia="Helvetica" w:hAnsi="Century Gothic" w:cs="Helvetica"/>
          <w:sz w:val="22"/>
          <w:szCs w:val="22"/>
        </w:rPr>
        <w:t xml:space="preserve">sostuvieron conversaciones </w:t>
      </w:r>
      <w:r w:rsidR="0041410F" w:rsidRPr="00CD7B09">
        <w:rPr>
          <w:rFonts w:ascii="Century Gothic" w:eastAsia="Helvetica" w:hAnsi="Century Gothic" w:cs="Helvetica"/>
          <w:sz w:val="22"/>
          <w:szCs w:val="22"/>
        </w:rPr>
        <w:t xml:space="preserve">con el Ministro de Justicia y del Derecho para lograr el texto con mayores consensos. En él, se hicieron varias modificaciones: </w:t>
      </w:r>
    </w:p>
    <w:p w14:paraId="5823A7C3" w14:textId="5AD65136" w:rsidR="0041410F" w:rsidRPr="00CD7B09" w:rsidRDefault="0041410F" w:rsidP="00CB1679">
      <w:pPr>
        <w:pStyle w:val="Normal0"/>
        <w:numPr>
          <w:ilvl w:val="0"/>
          <w:numId w:val="23"/>
        </w:numPr>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eastAsia="Helvetica" w:hAnsi="Century Gothic" w:cs="Helvetica"/>
          <w:sz w:val="22"/>
          <w:szCs w:val="22"/>
        </w:rPr>
      </w:pPr>
      <w:r w:rsidRPr="00CD7B09">
        <w:rPr>
          <w:rFonts w:ascii="Century Gothic" w:eastAsia="Helvetica" w:hAnsi="Century Gothic" w:cs="Helvetica"/>
          <w:sz w:val="22"/>
          <w:szCs w:val="22"/>
        </w:rPr>
        <w:t xml:space="preserve">Ajuste de la redacción a la definición del principio de democratización del acceso y uso adecuado de la tierra para que quedara lo más acorde a los artículos 59 y 64 de la Constitución. </w:t>
      </w:r>
    </w:p>
    <w:p w14:paraId="2C307A73" w14:textId="10C706AA" w:rsidR="0041410F" w:rsidRPr="00CD7B09" w:rsidRDefault="0041410F" w:rsidP="00CB1679">
      <w:pPr>
        <w:pStyle w:val="Normal0"/>
        <w:numPr>
          <w:ilvl w:val="0"/>
          <w:numId w:val="23"/>
        </w:numPr>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eastAsia="Helvetica" w:hAnsi="Century Gothic" w:cs="Helvetica"/>
          <w:sz w:val="22"/>
          <w:szCs w:val="22"/>
        </w:rPr>
      </w:pPr>
      <w:r w:rsidRPr="00CD7B09">
        <w:rPr>
          <w:rFonts w:ascii="Century Gothic" w:eastAsia="Helvetica" w:hAnsi="Century Gothic" w:cs="Helvetica"/>
          <w:sz w:val="22"/>
          <w:szCs w:val="22"/>
        </w:rPr>
        <w:t>Ajustes que hicieran coincidir el texto a la recientemente aprobada reforma a la administración de justicia, en relación a los mecanismos alternativos de solución de conflictos en comunidades étnicas.</w:t>
      </w:r>
    </w:p>
    <w:p w14:paraId="17D63BF6" w14:textId="04126B9F" w:rsidR="0041410F" w:rsidRPr="00CD7B09" w:rsidRDefault="0041410F" w:rsidP="00CB1679">
      <w:pPr>
        <w:pStyle w:val="Normal0"/>
        <w:numPr>
          <w:ilvl w:val="0"/>
          <w:numId w:val="23"/>
        </w:numPr>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eastAsia="Helvetica" w:hAnsi="Century Gothic" w:cs="Helvetica"/>
          <w:sz w:val="22"/>
          <w:szCs w:val="22"/>
        </w:rPr>
      </w:pPr>
      <w:r w:rsidRPr="00CD7B09">
        <w:rPr>
          <w:rFonts w:ascii="Century Gothic" w:eastAsia="Helvetica" w:hAnsi="Century Gothic" w:cs="Helvetica"/>
          <w:sz w:val="22"/>
          <w:szCs w:val="22"/>
        </w:rPr>
        <w:t xml:space="preserve">Eliminación de la mención explícita a la protección de la parte más débil en el entendido de que esta protección se entiende en una interpretación sistémica del proyecto y de la Constitución Política. </w:t>
      </w:r>
    </w:p>
    <w:p w14:paraId="51B7754C" w14:textId="77F5A0A4" w:rsidR="0041410F" w:rsidRPr="00CD7B09" w:rsidRDefault="0041410F" w:rsidP="00CB1679">
      <w:pPr>
        <w:pStyle w:val="Normal0"/>
        <w:numPr>
          <w:ilvl w:val="0"/>
          <w:numId w:val="23"/>
        </w:numPr>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eastAsia="Helvetica" w:hAnsi="Century Gothic" w:cs="Helvetica"/>
          <w:sz w:val="22"/>
          <w:szCs w:val="22"/>
        </w:rPr>
      </w:pPr>
      <w:r w:rsidRPr="00CD7B09">
        <w:rPr>
          <w:rFonts w:ascii="Century Gothic" w:eastAsia="Helvetica" w:hAnsi="Century Gothic" w:cs="Helvetica"/>
          <w:sz w:val="22"/>
          <w:szCs w:val="22"/>
        </w:rPr>
        <w:t>Eliminación de las “organizaciones no gubernamentales” como partes del proceso agrario y rural, y ajuste con “toda persona jurídica, de derecho público o privado”.</w:t>
      </w:r>
    </w:p>
    <w:p w14:paraId="729811A9" w14:textId="77777777" w:rsidR="0041410F" w:rsidRPr="00CD7B09" w:rsidRDefault="0041410F" w:rsidP="0041410F">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ind w:left="720"/>
        <w:jc w:val="both"/>
        <w:rPr>
          <w:rFonts w:ascii="Century Gothic" w:eastAsia="Helvetica" w:hAnsi="Century Gothic" w:cs="Helvetica"/>
          <w:sz w:val="22"/>
          <w:szCs w:val="22"/>
        </w:rPr>
      </w:pPr>
    </w:p>
    <w:p w14:paraId="7D833C61" w14:textId="6FA6E3F1" w:rsidR="00B42E60" w:rsidRPr="00CD7B09" w:rsidRDefault="00B42E60" w:rsidP="00B42E60">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eastAsia="Helvetica" w:hAnsi="Century Gothic" w:cs="Helvetica"/>
          <w:sz w:val="22"/>
          <w:szCs w:val="22"/>
        </w:rPr>
      </w:pPr>
      <w:r w:rsidRPr="00CD7B09">
        <w:rPr>
          <w:rFonts w:ascii="Century Gothic" w:eastAsia="Helvetica" w:hAnsi="Century Gothic" w:cs="Helvetica"/>
          <w:sz w:val="22"/>
          <w:szCs w:val="22"/>
        </w:rPr>
        <w:t>El último texto acordado en esa legislatura fue el texto que fue radicado para primer debate para el PLE 143 de 2021C.</w:t>
      </w:r>
    </w:p>
    <w:p w14:paraId="3CB0EE79" w14:textId="77777777" w:rsidR="00B42E60" w:rsidRPr="00CD7B09" w:rsidRDefault="00B42E60" w:rsidP="00B42E60">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eastAsia="Helvetica" w:hAnsi="Century Gothic" w:cs="Helvetica"/>
          <w:sz w:val="22"/>
          <w:szCs w:val="22"/>
        </w:rPr>
      </w:pPr>
    </w:p>
    <w:p w14:paraId="34F68E5F" w14:textId="7AC361EB" w:rsidR="00B42E60" w:rsidRPr="00CD7B09" w:rsidRDefault="00B42E60" w:rsidP="00B42E60">
      <w:pPr>
        <w:jc w:val="both"/>
        <w:rPr>
          <w:rFonts w:ascii="Century Gothic" w:hAnsi="Century Gothic"/>
          <w:sz w:val="22"/>
          <w:szCs w:val="22"/>
        </w:rPr>
      </w:pPr>
      <w:r w:rsidRPr="00CD7B09">
        <w:rPr>
          <w:rFonts w:ascii="Century Gothic" w:hAnsi="Century Gothic"/>
          <w:sz w:val="22"/>
          <w:szCs w:val="22"/>
          <w:lang w:val="es-ES"/>
        </w:rPr>
        <w:t xml:space="preserve">Durante la discusión del proyecto de ley en la Comisión Primera, se recibieron </w:t>
      </w:r>
      <w:r w:rsidRPr="00CD7B09">
        <w:rPr>
          <w:rFonts w:ascii="Century Gothic" w:hAnsi="Century Gothic"/>
          <w:sz w:val="22"/>
          <w:szCs w:val="22"/>
        </w:rPr>
        <w:t xml:space="preserve">en total 120 proposiciones por parte de los representantes. Después de un análisis y depuración, el informe de subcomisión suscrito por los representantes Adriana Magali Matiz, Cesar Augusto Lorduy y Juanita Goebertus, acogió de manera total o con algún texto alternativo 84 proposiciones; y no acogió 35 proposiciones que se llevaron a discusión de la subcomisión. </w:t>
      </w:r>
    </w:p>
    <w:p w14:paraId="062DFB0E" w14:textId="77777777" w:rsidR="00B42E60" w:rsidRPr="00CD7B09" w:rsidRDefault="00B42E60" w:rsidP="00B42E60">
      <w:pPr>
        <w:jc w:val="both"/>
        <w:rPr>
          <w:rFonts w:ascii="Century Gothic" w:hAnsi="Century Gothic"/>
          <w:sz w:val="22"/>
          <w:szCs w:val="22"/>
        </w:rPr>
      </w:pPr>
    </w:p>
    <w:p w14:paraId="6B7E93AA" w14:textId="43E9F38B" w:rsidR="00B42E60" w:rsidRPr="00CD7B09" w:rsidRDefault="00B42E60" w:rsidP="00B42E60">
      <w:pPr>
        <w:jc w:val="both"/>
        <w:rPr>
          <w:rFonts w:ascii="Century Gothic" w:hAnsi="Century Gothic"/>
          <w:sz w:val="22"/>
          <w:szCs w:val="22"/>
        </w:rPr>
      </w:pPr>
      <w:r w:rsidRPr="00CD7B09">
        <w:rPr>
          <w:rFonts w:ascii="Century Gothic" w:hAnsi="Century Gothic"/>
          <w:sz w:val="22"/>
          <w:szCs w:val="22"/>
        </w:rPr>
        <w:t>Posteriormente, se presentó el 12 de octubre proposiciones sustitutivas suscritas po</w:t>
      </w:r>
      <w:r w:rsidR="00D81420" w:rsidRPr="00CD7B09">
        <w:rPr>
          <w:rFonts w:ascii="Century Gothic" w:hAnsi="Century Gothic"/>
          <w:sz w:val="22"/>
          <w:szCs w:val="22"/>
        </w:rPr>
        <w:t>r los mismos Representantes, sobre 7 artículos</w:t>
      </w:r>
      <w:r w:rsidRPr="00CD7B09">
        <w:rPr>
          <w:rFonts w:ascii="Century Gothic" w:hAnsi="Century Gothic"/>
          <w:sz w:val="22"/>
          <w:szCs w:val="22"/>
        </w:rPr>
        <w:t xml:space="preserve"> relacionados con: </w:t>
      </w:r>
    </w:p>
    <w:p w14:paraId="395020B4" w14:textId="23106723" w:rsidR="00B42E60" w:rsidRPr="00CD7B09" w:rsidRDefault="00B42E60" w:rsidP="00CB1679">
      <w:pPr>
        <w:pStyle w:val="Prrafodelista"/>
        <w:numPr>
          <w:ilvl w:val="0"/>
          <w:numId w:val="23"/>
        </w:numPr>
        <w:jc w:val="both"/>
        <w:rPr>
          <w:rFonts w:ascii="Century Gothic" w:hAnsi="Century Gothic"/>
        </w:rPr>
      </w:pPr>
      <w:r w:rsidRPr="00CD7B09">
        <w:rPr>
          <w:rFonts w:ascii="Century Gothic" w:hAnsi="Century Gothic"/>
        </w:rPr>
        <w:t xml:space="preserve">Ajuste sobre la inclusión en el artículo de fuentes e interpretación de normas procesales, las sentencias que los órganos interpretativos realicen. </w:t>
      </w:r>
    </w:p>
    <w:p w14:paraId="31FBC70F" w14:textId="1B67A4D3" w:rsidR="00B42E60" w:rsidRPr="00CD7B09" w:rsidRDefault="00B42E60" w:rsidP="00CB1679">
      <w:pPr>
        <w:pStyle w:val="Prrafodelista"/>
        <w:numPr>
          <w:ilvl w:val="0"/>
          <w:numId w:val="23"/>
        </w:numPr>
        <w:jc w:val="both"/>
        <w:rPr>
          <w:rFonts w:ascii="Century Gothic" w:hAnsi="Century Gothic"/>
        </w:rPr>
      </w:pPr>
      <w:r w:rsidRPr="00CD7B09">
        <w:rPr>
          <w:rFonts w:ascii="Century Gothic" w:hAnsi="Century Gothic"/>
        </w:rPr>
        <w:t xml:space="preserve">Ajuste a la itinerancia. </w:t>
      </w:r>
    </w:p>
    <w:p w14:paraId="475177A4" w14:textId="62B6BF4E" w:rsidR="00B42E60" w:rsidRPr="00CD7B09" w:rsidRDefault="00B42E60" w:rsidP="00CB1679">
      <w:pPr>
        <w:pStyle w:val="Prrafodelista"/>
        <w:numPr>
          <w:ilvl w:val="0"/>
          <w:numId w:val="23"/>
        </w:numPr>
        <w:jc w:val="both"/>
        <w:rPr>
          <w:rFonts w:ascii="Century Gothic" w:hAnsi="Century Gothic"/>
        </w:rPr>
      </w:pPr>
      <w:r w:rsidRPr="00CD7B09">
        <w:rPr>
          <w:rFonts w:ascii="Century Gothic" w:hAnsi="Century Gothic"/>
        </w:rPr>
        <w:t xml:space="preserve">Modificación a algunos de los numerales del artículo de asuntos que se conocen a través del proceso agrario y rural. </w:t>
      </w:r>
    </w:p>
    <w:p w14:paraId="6810AC81" w14:textId="490A0858" w:rsidR="00B42E60" w:rsidRPr="00CD7B09" w:rsidRDefault="00B42E60" w:rsidP="00CB1679">
      <w:pPr>
        <w:pStyle w:val="Prrafodelista"/>
        <w:numPr>
          <w:ilvl w:val="0"/>
          <w:numId w:val="23"/>
        </w:numPr>
        <w:jc w:val="both"/>
        <w:rPr>
          <w:rFonts w:ascii="Century Gothic" w:hAnsi="Century Gothic"/>
        </w:rPr>
      </w:pPr>
      <w:r w:rsidRPr="00CD7B09">
        <w:rPr>
          <w:rFonts w:ascii="Century Gothic" w:hAnsi="Century Gothic"/>
        </w:rPr>
        <w:t>Ajuste a la mención de otros métodos de resolución de conflictos.</w:t>
      </w:r>
    </w:p>
    <w:p w14:paraId="2D15687C" w14:textId="4037D76C" w:rsidR="00B42E60" w:rsidRPr="00CD7B09" w:rsidRDefault="00B42E60" w:rsidP="00CB1679">
      <w:pPr>
        <w:pStyle w:val="Prrafodelista"/>
        <w:numPr>
          <w:ilvl w:val="0"/>
          <w:numId w:val="23"/>
        </w:numPr>
        <w:jc w:val="both"/>
        <w:rPr>
          <w:rFonts w:ascii="Century Gothic" w:hAnsi="Century Gothic"/>
        </w:rPr>
      </w:pPr>
      <w:r w:rsidRPr="00CD7B09">
        <w:rPr>
          <w:rFonts w:ascii="Century Gothic" w:hAnsi="Century Gothic"/>
        </w:rPr>
        <w:t>Eliminación de la posibilidad de que los estudiantes de consultorios jurídicos funjan como facilitadores en los despachos agrarios y rurales.</w:t>
      </w:r>
    </w:p>
    <w:p w14:paraId="19091B7E" w14:textId="77777777" w:rsidR="00B42E60" w:rsidRPr="00CD7B09" w:rsidRDefault="00B42E60" w:rsidP="00B42E60">
      <w:pPr>
        <w:jc w:val="both"/>
        <w:rPr>
          <w:rFonts w:ascii="Century Gothic" w:hAnsi="Century Gothic"/>
          <w:sz w:val="22"/>
          <w:szCs w:val="22"/>
        </w:rPr>
      </w:pPr>
    </w:p>
    <w:p w14:paraId="6A530A6B" w14:textId="01F46D13" w:rsidR="00B42E60" w:rsidRPr="00CD7B09" w:rsidRDefault="00B42E60" w:rsidP="00B42E60">
      <w:pPr>
        <w:jc w:val="both"/>
        <w:rPr>
          <w:rFonts w:ascii="Century Gothic" w:hAnsi="Century Gothic"/>
          <w:sz w:val="22"/>
          <w:szCs w:val="22"/>
        </w:rPr>
      </w:pPr>
      <w:r w:rsidRPr="00CD7B09">
        <w:rPr>
          <w:rFonts w:ascii="Century Gothic" w:hAnsi="Century Gothic"/>
          <w:sz w:val="22"/>
          <w:szCs w:val="22"/>
        </w:rPr>
        <w:t xml:space="preserve">En consecuencia, los siguientes fueron los cambios más importantes que tuvo el proyecto de ley estatutaria en los términos en los que fue aprobado el 12 de octubre de 2021 por la Comisión: </w:t>
      </w:r>
    </w:p>
    <w:p w14:paraId="6591E4D3" w14:textId="7C5C2978" w:rsidR="00B42E60" w:rsidRPr="00CD7B09" w:rsidRDefault="00B42E60" w:rsidP="00B42E60">
      <w:pPr>
        <w:jc w:val="both"/>
        <w:rPr>
          <w:rFonts w:ascii="Century Gothic" w:hAnsi="Century Gothic"/>
          <w:sz w:val="22"/>
          <w:szCs w:val="22"/>
          <w:lang w:val="es-ES"/>
        </w:rPr>
      </w:pPr>
      <w:r w:rsidRPr="00CD7B09">
        <w:rPr>
          <w:rFonts w:ascii="Century Gothic" w:hAnsi="Century Gothic"/>
          <w:sz w:val="22"/>
          <w:szCs w:val="22"/>
          <w:lang w:val="es-ES"/>
        </w:rPr>
        <w:t xml:space="preserve"> </w:t>
      </w:r>
    </w:p>
    <w:p w14:paraId="290464FF" w14:textId="77777777" w:rsidR="00B42E60" w:rsidRPr="00CD7B09" w:rsidRDefault="00B42E60" w:rsidP="00CB1679">
      <w:pPr>
        <w:pStyle w:val="Prrafodelista"/>
        <w:numPr>
          <w:ilvl w:val="0"/>
          <w:numId w:val="23"/>
        </w:numPr>
        <w:jc w:val="both"/>
        <w:rPr>
          <w:rFonts w:ascii="Century Gothic" w:hAnsi="Century Gothic"/>
          <w:lang w:val="es-ES"/>
        </w:rPr>
      </w:pPr>
      <w:r w:rsidRPr="00CD7B09">
        <w:rPr>
          <w:rFonts w:ascii="Century Gothic" w:hAnsi="Century Gothic"/>
          <w:lang w:val="es-ES"/>
        </w:rPr>
        <w:t xml:space="preserve">Eliminación de la disposición que preveía los conflictos de competencias entre los tribunales administrativos, entre sus secciones entre tribunales y jueces administrativos de distintos distritos. </w:t>
      </w:r>
    </w:p>
    <w:p w14:paraId="28A34528" w14:textId="77777777" w:rsidR="00B42E60" w:rsidRPr="00CD7B09" w:rsidRDefault="00B42E60" w:rsidP="00CB1679">
      <w:pPr>
        <w:pStyle w:val="Prrafodelista"/>
        <w:numPr>
          <w:ilvl w:val="0"/>
          <w:numId w:val="23"/>
        </w:numPr>
        <w:jc w:val="both"/>
        <w:rPr>
          <w:rFonts w:ascii="Century Gothic" w:hAnsi="Century Gothic"/>
          <w:lang w:val="es-ES"/>
        </w:rPr>
      </w:pPr>
      <w:r w:rsidRPr="00CD7B09">
        <w:rPr>
          <w:rFonts w:ascii="Century Gothic" w:hAnsi="Century Gothic"/>
          <w:lang w:val="es-ES"/>
        </w:rPr>
        <w:t xml:space="preserve">Modificación del término de 30 meses a 36 meses para iniciar la entrada en funcionamiento de los despachos judiciales agrarios y rurales de ambas jurisdicciones por parte del Consejo Superior de la Judicatura. </w:t>
      </w:r>
    </w:p>
    <w:p w14:paraId="1AA0E40E" w14:textId="77777777" w:rsidR="00B42E60" w:rsidRPr="00CD7B09" w:rsidRDefault="00B42E60" w:rsidP="00CB1679">
      <w:pPr>
        <w:pStyle w:val="Prrafodelista"/>
        <w:numPr>
          <w:ilvl w:val="0"/>
          <w:numId w:val="23"/>
        </w:numPr>
        <w:jc w:val="both"/>
        <w:rPr>
          <w:rFonts w:ascii="Century Gothic" w:hAnsi="Century Gothic"/>
          <w:lang w:val="es-ES"/>
        </w:rPr>
      </w:pPr>
      <w:r w:rsidRPr="00CD7B09">
        <w:rPr>
          <w:rFonts w:ascii="Century Gothic" w:hAnsi="Century Gothic"/>
          <w:lang w:val="es-ES"/>
        </w:rPr>
        <w:t>Eliminación de la mención al derecho propio de los pueblos y las comunidades al utilizar otros métodos de resolución de conflictos.</w:t>
      </w:r>
    </w:p>
    <w:p w14:paraId="29599C5E" w14:textId="77777777" w:rsidR="00B42E60" w:rsidRPr="00CD7B09" w:rsidRDefault="00B42E60" w:rsidP="00CB1679">
      <w:pPr>
        <w:pStyle w:val="Prrafodelista"/>
        <w:numPr>
          <w:ilvl w:val="0"/>
          <w:numId w:val="23"/>
        </w:numPr>
        <w:jc w:val="both"/>
        <w:rPr>
          <w:rFonts w:ascii="Century Gothic" w:hAnsi="Century Gothic"/>
          <w:lang w:val="es-ES"/>
        </w:rPr>
      </w:pPr>
      <w:r w:rsidRPr="00CD7B09">
        <w:rPr>
          <w:rFonts w:ascii="Century Gothic" w:hAnsi="Century Gothic"/>
          <w:lang w:val="es-ES"/>
        </w:rPr>
        <w:t xml:space="preserve">Eliminación del artículo que mencionaba el amparo de pobreza por considerar que ya se contemplaba en la legislación general del CGP. </w:t>
      </w:r>
    </w:p>
    <w:p w14:paraId="6DD08D39" w14:textId="77777777" w:rsidR="00B42E60" w:rsidRPr="00CD7B09" w:rsidRDefault="00B42E60" w:rsidP="00CB1679">
      <w:pPr>
        <w:pStyle w:val="Prrafodelista"/>
        <w:numPr>
          <w:ilvl w:val="0"/>
          <w:numId w:val="23"/>
        </w:numPr>
        <w:jc w:val="both"/>
        <w:rPr>
          <w:rFonts w:ascii="Century Gothic" w:hAnsi="Century Gothic"/>
          <w:lang w:val="es-ES"/>
        </w:rPr>
      </w:pPr>
      <w:r w:rsidRPr="00CD7B09">
        <w:rPr>
          <w:rFonts w:ascii="Century Gothic" w:hAnsi="Century Gothic"/>
          <w:lang w:val="es-ES"/>
        </w:rPr>
        <w:t xml:space="preserve">Eliminación del artículo que mencionaba la aplicación de decisiones ultra y extra petita. </w:t>
      </w:r>
    </w:p>
    <w:p w14:paraId="74C6C40E" w14:textId="77777777" w:rsidR="00B42E60" w:rsidRPr="00CD7B09" w:rsidRDefault="00B42E60" w:rsidP="00CB1679">
      <w:pPr>
        <w:pStyle w:val="Prrafodelista"/>
        <w:numPr>
          <w:ilvl w:val="0"/>
          <w:numId w:val="23"/>
        </w:numPr>
        <w:jc w:val="both"/>
        <w:rPr>
          <w:rFonts w:ascii="Century Gothic" w:hAnsi="Century Gothic"/>
          <w:lang w:val="es-ES"/>
        </w:rPr>
      </w:pPr>
      <w:r w:rsidRPr="00CD7B09">
        <w:rPr>
          <w:rFonts w:ascii="Century Gothic" w:hAnsi="Century Gothic"/>
          <w:lang w:val="es-ES"/>
        </w:rPr>
        <w:t xml:space="preserve">Precisiones a algunos numerales del artículo relacionado con los asuntos que se tramitan a través del proceso agrario y rural: </w:t>
      </w:r>
    </w:p>
    <w:p w14:paraId="085C5323" w14:textId="77777777" w:rsidR="00B42E60" w:rsidRPr="00CD7B09" w:rsidRDefault="00B42E60" w:rsidP="00CB1679">
      <w:pPr>
        <w:pStyle w:val="Prrafodelista"/>
        <w:numPr>
          <w:ilvl w:val="1"/>
          <w:numId w:val="23"/>
        </w:numPr>
        <w:jc w:val="both"/>
        <w:rPr>
          <w:rFonts w:ascii="Century Gothic" w:hAnsi="Century Gothic"/>
          <w:lang w:val="es-ES"/>
        </w:rPr>
      </w:pPr>
      <w:r w:rsidRPr="00CD7B09">
        <w:rPr>
          <w:rFonts w:ascii="Century Gothic" w:hAnsi="Century Gothic"/>
          <w:lang w:val="es-ES"/>
        </w:rPr>
        <w:t xml:space="preserve">Procesos de extinción de dominio que aborden diferendos asociados con cumplimiento de normas de conservación mejoramiento y utilización racional de recursos naturales renovables </w:t>
      </w:r>
      <w:r w:rsidRPr="00CD7B09">
        <w:rPr>
          <w:rFonts w:ascii="Century Gothic" w:hAnsi="Century Gothic"/>
          <w:i/>
          <w:lang w:val="es-ES"/>
        </w:rPr>
        <w:t>una vez agotada la fase administrativa.</w:t>
      </w:r>
    </w:p>
    <w:p w14:paraId="58EE178A" w14:textId="77777777" w:rsidR="00B42E60" w:rsidRPr="00CD7B09" w:rsidRDefault="00B42E60" w:rsidP="00CB1679">
      <w:pPr>
        <w:pStyle w:val="Prrafodelista"/>
        <w:numPr>
          <w:ilvl w:val="1"/>
          <w:numId w:val="23"/>
        </w:numPr>
        <w:jc w:val="both"/>
        <w:rPr>
          <w:rFonts w:ascii="Century Gothic" w:hAnsi="Century Gothic"/>
          <w:lang w:val="es-ES"/>
        </w:rPr>
      </w:pPr>
      <w:r w:rsidRPr="00CD7B09">
        <w:rPr>
          <w:rFonts w:ascii="Century Gothic" w:hAnsi="Century Gothic"/>
          <w:lang w:val="es-ES"/>
        </w:rPr>
        <w:t>Delimitación del asunto relacionado con el proceso de extinción de dominio por violación de normas sobre conservación, mejoramiento y utilización racional de recursos naturales renovables y las relacionadas con preservación y restauración del ambiente, una vez agotada la fase administrativa.</w:t>
      </w:r>
    </w:p>
    <w:p w14:paraId="410A0151" w14:textId="2C2479D0" w:rsidR="00B42E60" w:rsidRPr="00CD7B09" w:rsidRDefault="00B42E60" w:rsidP="00CB1679">
      <w:pPr>
        <w:pStyle w:val="Prrafodelista"/>
        <w:numPr>
          <w:ilvl w:val="0"/>
          <w:numId w:val="23"/>
        </w:numPr>
        <w:jc w:val="both"/>
        <w:rPr>
          <w:rFonts w:ascii="Century Gothic" w:hAnsi="Century Gothic"/>
          <w:lang w:val="es-ES"/>
        </w:rPr>
      </w:pPr>
      <w:r w:rsidRPr="00CD7B09">
        <w:rPr>
          <w:rFonts w:ascii="Century Gothic" w:hAnsi="Century Gothic"/>
          <w:lang w:val="es-ES"/>
        </w:rPr>
        <w:t>Modificaciones procesales respondiendo a la preocupación de la Representante Adriana Magali Matiz sobre “disposiciones repetidas” en relación con el procedimiento general que contempla el CGP. En el texto aprobado en Comisión Primera, se desintegra el Capítulo que se creaba dentro del Título de los procesos declarativos especiales, para dejar solo algunas de las disposiciones, mientras que otras quedan integradas a los artículos del Libro Segundo del CGP (actos procesales).</w:t>
      </w:r>
    </w:p>
    <w:p w14:paraId="0E61F922" w14:textId="77777777" w:rsidR="00B42E60" w:rsidRPr="00CD7B09" w:rsidRDefault="00B42E60" w:rsidP="00B42E60">
      <w:pPr>
        <w:jc w:val="both"/>
        <w:rPr>
          <w:rFonts w:ascii="Century Gothic" w:hAnsi="Century Gothic"/>
          <w:sz w:val="22"/>
          <w:szCs w:val="22"/>
          <w:lang w:val="es-ES"/>
        </w:rPr>
      </w:pPr>
    </w:p>
    <w:p w14:paraId="1C40D393" w14:textId="77777777" w:rsidR="00B42E60" w:rsidRPr="00CD7B09" w:rsidRDefault="00B42E60" w:rsidP="00B42E60">
      <w:pPr>
        <w:jc w:val="both"/>
        <w:rPr>
          <w:rFonts w:ascii="Century Gothic" w:hAnsi="Century Gothic"/>
          <w:sz w:val="22"/>
          <w:szCs w:val="22"/>
          <w:lang w:val="es-ES"/>
        </w:rPr>
      </w:pPr>
    </w:p>
    <w:p w14:paraId="37E167C1" w14:textId="239ADC07" w:rsidR="00B42E60" w:rsidRPr="00CD7B09" w:rsidRDefault="00B42E60" w:rsidP="00B42E60">
      <w:pPr>
        <w:jc w:val="both"/>
        <w:rPr>
          <w:rFonts w:ascii="Century Gothic" w:hAnsi="Century Gothic"/>
          <w:sz w:val="22"/>
          <w:szCs w:val="22"/>
          <w:lang w:val="es-ES"/>
        </w:rPr>
      </w:pPr>
      <w:r w:rsidRPr="00CD7B09">
        <w:rPr>
          <w:rFonts w:ascii="Century Gothic" w:hAnsi="Century Gothic"/>
          <w:sz w:val="22"/>
          <w:szCs w:val="22"/>
          <w:lang w:val="es-ES"/>
        </w:rPr>
        <w:t xml:space="preserve">A partir de lo anterior, el pliego de modificaciones para este segundo debate incluye algunos ajustes adicionales, relacionados con: </w:t>
      </w:r>
    </w:p>
    <w:p w14:paraId="774DBAF4" w14:textId="0D4B7E59" w:rsidR="00B42E60" w:rsidRPr="00CD7B09" w:rsidRDefault="00B42E60" w:rsidP="00CB1679">
      <w:pPr>
        <w:pStyle w:val="Prrafodelista"/>
        <w:numPr>
          <w:ilvl w:val="0"/>
          <w:numId w:val="24"/>
        </w:numPr>
        <w:jc w:val="both"/>
        <w:rPr>
          <w:rFonts w:ascii="Century Gothic" w:hAnsi="Century Gothic"/>
          <w:lang w:val="es-ES"/>
        </w:rPr>
      </w:pPr>
      <w:r w:rsidRPr="00CD7B09">
        <w:rPr>
          <w:rFonts w:ascii="Century Gothic" w:hAnsi="Century Gothic"/>
          <w:lang w:val="es-ES"/>
        </w:rPr>
        <w:t>Ajustes de forma en algunos artículos que fueron desajustados a raíz del trámite.</w:t>
      </w:r>
    </w:p>
    <w:p w14:paraId="243AD7E7" w14:textId="0369D650" w:rsidR="00B42E60" w:rsidRPr="00CD7B09" w:rsidRDefault="00B42E60" w:rsidP="00CB1679">
      <w:pPr>
        <w:pStyle w:val="Prrafodelista"/>
        <w:numPr>
          <w:ilvl w:val="0"/>
          <w:numId w:val="24"/>
        </w:numPr>
        <w:jc w:val="both"/>
        <w:rPr>
          <w:rFonts w:ascii="Century Gothic" w:hAnsi="Century Gothic"/>
          <w:lang w:val="es-ES"/>
        </w:rPr>
      </w:pPr>
      <w:r w:rsidRPr="00CD7B09">
        <w:rPr>
          <w:rFonts w:ascii="Century Gothic" w:hAnsi="Century Gothic"/>
          <w:lang w:val="es-ES"/>
        </w:rPr>
        <w:t xml:space="preserve">Eliminación de alguna priorización adicional para los despachos itinerantes en zonas focalizadas, a raíz de proposición dejada como constancia del Representante Vallejo. </w:t>
      </w:r>
    </w:p>
    <w:p w14:paraId="03AF9EC0" w14:textId="106E5923" w:rsidR="00B42E60" w:rsidRPr="00CD7B09" w:rsidRDefault="00B42E60" w:rsidP="00CB1679">
      <w:pPr>
        <w:pStyle w:val="Prrafodelista"/>
        <w:numPr>
          <w:ilvl w:val="0"/>
          <w:numId w:val="24"/>
        </w:numPr>
        <w:jc w:val="both"/>
        <w:rPr>
          <w:rFonts w:ascii="Century Gothic" w:hAnsi="Century Gothic"/>
          <w:lang w:val="es-ES"/>
        </w:rPr>
      </w:pPr>
      <w:r w:rsidRPr="00CD7B09">
        <w:rPr>
          <w:rFonts w:ascii="Century Gothic" w:hAnsi="Century Gothic"/>
          <w:lang w:val="es-ES"/>
        </w:rPr>
        <w:t xml:space="preserve">Modificación a uno de los asuntos que se tramitan a través del procedimiento agrario y rural, de manera que se delimite el alcance del proceso de extinción de dominio en casos de violaciones a normas sobre conservación, mejoramiento y utilización racional de los recursos. </w:t>
      </w:r>
    </w:p>
    <w:p w14:paraId="7646AD2C" w14:textId="256977EE" w:rsidR="00B42E60" w:rsidRPr="00CD7B09" w:rsidRDefault="00B42E60" w:rsidP="00CB1679">
      <w:pPr>
        <w:pStyle w:val="Prrafodelista"/>
        <w:numPr>
          <w:ilvl w:val="0"/>
          <w:numId w:val="24"/>
        </w:numPr>
        <w:jc w:val="both"/>
        <w:rPr>
          <w:rFonts w:ascii="Century Gothic" w:hAnsi="Century Gothic"/>
          <w:lang w:val="es-ES"/>
        </w:rPr>
      </w:pPr>
      <w:r w:rsidRPr="00CD7B09">
        <w:rPr>
          <w:rFonts w:ascii="Century Gothic" w:hAnsi="Century Gothic"/>
          <w:lang w:val="es-ES"/>
        </w:rPr>
        <w:t xml:space="preserve">Se busca fortalecer el acompañamiento del facilitador como actor que acompaña la ruta y los requisitos para la presentación de las demandas del procedimiento agrario y rural. </w:t>
      </w:r>
    </w:p>
    <w:p w14:paraId="4BA71495" w14:textId="19291DAE" w:rsidR="00B42E60" w:rsidRPr="00CD7B09" w:rsidRDefault="00B42E60" w:rsidP="00CB1679">
      <w:pPr>
        <w:pStyle w:val="Prrafodelista"/>
        <w:numPr>
          <w:ilvl w:val="0"/>
          <w:numId w:val="24"/>
        </w:numPr>
        <w:jc w:val="both"/>
        <w:rPr>
          <w:rFonts w:ascii="Century Gothic" w:hAnsi="Century Gothic"/>
          <w:lang w:val="es-ES"/>
        </w:rPr>
      </w:pPr>
      <w:r w:rsidRPr="00CD7B09">
        <w:rPr>
          <w:rFonts w:ascii="Century Gothic" w:hAnsi="Century Gothic"/>
          <w:lang w:val="es-ES"/>
        </w:rPr>
        <w:t xml:space="preserve">Se busca </w:t>
      </w:r>
      <w:r w:rsidRPr="00CD7B09">
        <w:rPr>
          <w:rFonts w:ascii="Century Gothic" w:eastAsia="Garamond" w:hAnsi="Century Gothic" w:cs="Garamond"/>
        </w:rPr>
        <w:t xml:space="preserve">fortalecer la experiencia y formación de los jueces que conocerán de los procesos, a través del establecimiento obligatorio de un curso de capacitación en normatividad y procedimiento agrario y rural en los términos de la ley. </w:t>
      </w:r>
    </w:p>
    <w:p w14:paraId="494B2009" w14:textId="6AB9662E" w:rsidR="008955C9" w:rsidRPr="00CD7B09" w:rsidRDefault="008955C9" w:rsidP="00B42E60">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eastAsia="Helvetica" w:hAnsi="Century Gothic" w:cs="Helvetica"/>
          <w:sz w:val="22"/>
          <w:szCs w:val="22"/>
        </w:rPr>
      </w:pPr>
    </w:p>
    <w:p w14:paraId="772BAB00" w14:textId="77777777" w:rsidR="00096249" w:rsidRPr="00CD7B09" w:rsidRDefault="00096249" w:rsidP="00E8534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hAnsi="Century Gothic"/>
          <w:sz w:val="22"/>
          <w:szCs w:val="22"/>
        </w:rPr>
      </w:pPr>
    </w:p>
    <w:p w14:paraId="614C0739" w14:textId="77777777" w:rsidR="00366170" w:rsidRPr="00CD7B09" w:rsidRDefault="00366170" w:rsidP="00E85348">
      <w:pPr>
        <w:pStyle w:val="Normal0"/>
        <w:numPr>
          <w:ilvl w:val="0"/>
          <w:numId w:val="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hAnsi="Century Gothic"/>
          <w:b/>
          <w:sz w:val="22"/>
          <w:szCs w:val="22"/>
        </w:rPr>
      </w:pPr>
      <w:r w:rsidRPr="00CD7B09">
        <w:rPr>
          <w:rFonts w:ascii="Century Gothic" w:hAnsi="Century Gothic"/>
          <w:b/>
          <w:sz w:val="22"/>
          <w:szCs w:val="22"/>
        </w:rPr>
        <w:t>PLIEGO DE MODIFICACIONES</w:t>
      </w:r>
    </w:p>
    <w:p w14:paraId="30B6115E" w14:textId="77777777" w:rsidR="00E61C26" w:rsidRPr="00CD7B09" w:rsidRDefault="00E61C26"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hAnsi="Century Gothic"/>
          <w:sz w:val="22"/>
          <w:szCs w:val="22"/>
        </w:rPr>
      </w:pPr>
    </w:p>
    <w:tbl>
      <w:tblPr>
        <w:tblStyle w:val="Tablaconcuadrcula"/>
        <w:tblW w:w="0" w:type="auto"/>
        <w:tblLook w:val="04A0" w:firstRow="1" w:lastRow="0" w:firstColumn="1" w:lastColumn="0" w:noHBand="0" w:noVBand="1"/>
      </w:tblPr>
      <w:tblGrid>
        <w:gridCol w:w="2942"/>
        <w:gridCol w:w="2943"/>
        <w:gridCol w:w="2943"/>
      </w:tblGrid>
      <w:tr w:rsidR="00CD7B09" w:rsidRPr="00CD7B09" w14:paraId="643F54EC" w14:textId="77777777" w:rsidTr="009F0165">
        <w:tc>
          <w:tcPr>
            <w:tcW w:w="2942" w:type="dxa"/>
          </w:tcPr>
          <w:p w14:paraId="11AEBDE2" w14:textId="77777777" w:rsidR="00B42E60" w:rsidRPr="00CD7B09" w:rsidRDefault="00B42E60" w:rsidP="009F0165">
            <w:pPr>
              <w:ind w:right="49"/>
              <w:jc w:val="center"/>
              <w:rPr>
                <w:rFonts w:ascii="Century Gothic" w:eastAsia="Garamond" w:hAnsi="Century Gothic" w:cs="Garamond"/>
                <w:b/>
                <w:sz w:val="18"/>
                <w:szCs w:val="18"/>
              </w:rPr>
            </w:pPr>
            <w:r w:rsidRPr="00CD7B09">
              <w:rPr>
                <w:rFonts w:ascii="Century Gothic" w:eastAsia="Garamond" w:hAnsi="Century Gothic" w:cs="Garamond"/>
                <w:b/>
                <w:sz w:val="18"/>
                <w:szCs w:val="18"/>
              </w:rPr>
              <w:t>TEXTO APROBADO EN COMISIÓN PRIMERA DE CÁMARA</w:t>
            </w:r>
          </w:p>
        </w:tc>
        <w:tc>
          <w:tcPr>
            <w:tcW w:w="2943" w:type="dxa"/>
          </w:tcPr>
          <w:p w14:paraId="77B74870" w14:textId="77777777" w:rsidR="00B42E60" w:rsidRPr="00CD7B09" w:rsidRDefault="00B42E60" w:rsidP="009F0165">
            <w:pPr>
              <w:ind w:right="49"/>
              <w:jc w:val="center"/>
              <w:rPr>
                <w:rFonts w:ascii="Century Gothic" w:eastAsia="Garamond" w:hAnsi="Century Gothic" w:cs="Garamond"/>
                <w:b/>
                <w:sz w:val="18"/>
                <w:szCs w:val="18"/>
              </w:rPr>
            </w:pPr>
            <w:r w:rsidRPr="00CD7B09">
              <w:rPr>
                <w:rFonts w:ascii="Century Gothic" w:eastAsia="Garamond" w:hAnsi="Century Gothic" w:cs="Garamond"/>
                <w:b/>
                <w:sz w:val="18"/>
                <w:szCs w:val="18"/>
              </w:rPr>
              <w:t>TEXTO PROPUESTO PARA SEGUNDO DEBATE</w:t>
            </w:r>
          </w:p>
        </w:tc>
        <w:tc>
          <w:tcPr>
            <w:tcW w:w="2943" w:type="dxa"/>
          </w:tcPr>
          <w:p w14:paraId="4D62D983" w14:textId="77777777" w:rsidR="00B42E60" w:rsidRPr="00CD7B09" w:rsidRDefault="00B42E60" w:rsidP="009F0165">
            <w:pPr>
              <w:ind w:right="49"/>
              <w:jc w:val="center"/>
              <w:rPr>
                <w:rFonts w:ascii="Century Gothic" w:eastAsia="Garamond" w:hAnsi="Century Gothic" w:cs="Garamond"/>
                <w:b/>
                <w:sz w:val="18"/>
                <w:szCs w:val="18"/>
              </w:rPr>
            </w:pPr>
            <w:r w:rsidRPr="00CD7B09">
              <w:rPr>
                <w:rFonts w:ascii="Century Gothic" w:eastAsia="Garamond" w:hAnsi="Century Gothic" w:cs="Garamond"/>
                <w:b/>
                <w:sz w:val="18"/>
                <w:szCs w:val="18"/>
              </w:rPr>
              <w:t>JUSTIFICACIÓN</w:t>
            </w:r>
          </w:p>
        </w:tc>
      </w:tr>
      <w:tr w:rsidR="00CD7B09" w:rsidRPr="00CD7B09" w14:paraId="34AA9C75" w14:textId="77777777" w:rsidTr="009F0165">
        <w:tc>
          <w:tcPr>
            <w:tcW w:w="2942" w:type="dxa"/>
          </w:tcPr>
          <w:p w14:paraId="6CA9D5DF"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b/>
                <w:sz w:val="18"/>
                <w:szCs w:val="18"/>
              </w:rPr>
              <w:t xml:space="preserve">Artículo 3. Principios. </w:t>
            </w:r>
            <w:r w:rsidRPr="00CD7B09">
              <w:rPr>
                <w:rFonts w:ascii="Century Gothic" w:eastAsia="Garamond" w:hAnsi="Century Gothic" w:cs="Garamond"/>
                <w:sz w:val="18"/>
                <w:szCs w:val="18"/>
              </w:rPr>
              <w:t>En la aplicación e interpretación de las disposiciones de esta ley deberán observarse de manera prevalente los principios constitucionales, así como los del derecho procesal general, con el objeto de garantizar la efectividad de los derechos. De igual forma, se tendrán en cuenta los siguientes.</w:t>
            </w:r>
          </w:p>
          <w:p w14:paraId="4A7EBAAE"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18"/>
                <w:szCs w:val="18"/>
              </w:rPr>
            </w:pPr>
            <w:r w:rsidRPr="00CD7B09">
              <w:rPr>
                <w:rFonts w:ascii="Century Gothic" w:eastAsia="Garamond" w:hAnsi="Century Gothic" w:cs="Garamond"/>
                <w:b/>
                <w:sz w:val="18"/>
                <w:szCs w:val="18"/>
              </w:rPr>
              <w:t>(…)</w:t>
            </w:r>
          </w:p>
        </w:tc>
        <w:tc>
          <w:tcPr>
            <w:tcW w:w="2943" w:type="dxa"/>
          </w:tcPr>
          <w:p w14:paraId="7ACC89FC"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b/>
                <w:sz w:val="18"/>
                <w:szCs w:val="18"/>
              </w:rPr>
              <w:t xml:space="preserve">Artículo 3. Principios. </w:t>
            </w:r>
            <w:r w:rsidRPr="00CD7B09">
              <w:rPr>
                <w:rFonts w:ascii="Century Gothic" w:eastAsia="Garamond" w:hAnsi="Century Gothic" w:cs="Garamond"/>
                <w:sz w:val="18"/>
                <w:szCs w:val="18"/>
              </w:rPr>
              <w:t xml:space="preserve">En la aplicación e interpretación de las disposiciones de esta ley deberán observarse de manera prevalente los principios constitucionales, así como los del derecho procesal general, con el objeto de garantizar la efectividad de los derechos. De igual forma, se tendrán en cuenta los siguientes </w:t>
            </w:r>
            <w:r w:rsidRPr="00CD7B09">
              <w:rPr>
                <w:rFonts w:ascii="Century Gothic" w:eastAsia="Garamond" w:hAnsi="Century Gothic" w:cs="Garamond"/>
                <w:b/>
                <w:sz w:val="18"/>
                <w:szCs w:val="18"/>
                <w:u w:val="single"/>
              </w:rPr>
              <w:t>principios especiales, que deberán tener estricta observancia:</w:t>
            </w:r>
          </w:p>
          <w:p w14:paraId="13D69484"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18"/>
                <w:szCs w:val="18"/>
              </w:rPr>
            </w:pPr>
            <w:r w:rsidRPr="00CD7B09">
              <w:rPr>
                <w:rFonts w:ascii="Century Gothic" w:eastAsia="Garamond" w:hAnsi="Century Gothic" w:cs="Garamond"/>
                <w:b/>
                <w:sz w:val="18"/>
                <w:szCs w:val="18"/>
              </w:rPr>
              <w:t>(…)</w:t>
            </w:r>
          </w:p>
        </w:tc>
        <w:tc>
          <w:tcPr>
            <w:tcW w:w="2943" w:type="dxa"/>
          </w:tcPr>
          <w:p w14:paraId="2A0C4B1F" w14:textId="77777777" w:rsidR="00B42E60" w:rsidRPr="00CD7B09" w:rsidRDefault="00B42E60" w:rsidP="009F0165">
            <w:pPr>
              <w:ind w:right="49"/>
              <w:jc w:val="center"/>
              <w:rPr>
                <w:rFonts w:ascii="Century Gothic" w:eastAsia="Garamond" w:hAnsi="Century Gothic" w:cs="Garamond"/>
                <w:sz w:val="18"/>
                <w:szCs w:val="18"/>
              </w:rPr>
            </w:pPr>
            <w:r w:rsidRPr="00CD7B09">
              <w:rPr>
                <w:rFonts w:ascii="Century Gothic" w:eastAsia="Garamond" w:hAnsi="Century Gothic" w:cs="Garamond"/>
                <w:sz w:val="18"/>
                <w:szCs w:val="18"/>
              </w:rPr>
              <w:t>Se ajusta el texto del primer inciso a su redacción original, debido a que la proposición avalada en primer debate cortó la frase final.</w:t>
            </w:r>
          </w:p>
        </w:tc>
      </w:tr>
      <w:tr w:rsidR="00CD7B09" w:rsidRPr="00CD7B09" w14:paraId="44228CFC" w14:textId="77777777" w:rsidTr="009F0165">
        <w:tc>
          <w:tcPr>
            <w:tcW w:w="2942" w:type="dxa"/>
          </w:tcPr>
          <w:p w14:paraId="10411730"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b/>
                <w:sz w:val="18"/>
                <w:szCs w:val="18"/>
              </w:rPr>
              <w:t xml:space="preserve">Artículo 10. Itinerancia en zonas focalizadas. </w:t>
            </w:r>
            <w:r w:rsidRPr="00CD7B09">
              <w:rPr>
                <w:rFonts w:ascii="Century Gothic" w:eastAsia="Garamond" w:hAnsi="Century Gothic" w:cs="Garamond"/>
                <w:sz w:val="18"/>
                <w:szCs w:val="18"/>
              </w:rPr>
              <w:t>Los jueces agrarios y rurales de la jurisdicción ordinaria y los jueces agrarios y rurales administrativos de la jurisdicción de lo contencioso administrativo, con base en la competencia que les asigna la presente ley se desplazarán a los municipios definidos en el Decreto Ley 893 de 2017, por el cual se crean los programas de desarrollo con enfoque territorial -PDET-, y a los municipios de mayor conflictividad rural y agraria en el país, sin perjuicio de la ampliación progresiva de la cobertura en todo el territorio, y que se les hubiere asignado por el Consejo Superior de la Judicatura, con el fin de adelantar los asuntos de su competencia.</w:t>
            </w:r>
          </w:p>
          <w:p w14:paraId="2C234862"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18"/>
                <w:szCs w:val="18"/>
              </w:rPr>
            </w:pPr>
          </w:p>
          <w:p w14:paraId="609C9710"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sz w:val="18"/>
                <w:szCs w:val="18"/>
              </w:rPr>
              <w:t>También se priorizará la población y los territorios más necesitados y vulnerables, y las comunidades más afectadas por la miseria, el abandono y el conflicto, con especial atención en los derechos de las víctimas del conflicto, de los niños y niñas, de las mujeres, personas con discapacidad y de las personas adultas mayores.</w:t>
            </w:r>
          </w:p>
          <w:p w14:paraId="725C3B3E" w14:textId="77777777" w:rsidR="00B42E60" w:rsidRPr="00CD7B09" w:rsidRDefault="00B42E60" w:rsidP="009F0165">
            <w:pPr>
              <w:ind w:right="49"/>
              <w:jc w:val="center"/>
              <w:rPr>
                <w:rFonts w:ascii="Century Gothic" w:eastAsia="Garamond" w:hAnsi="Century Gothic" w:cs="Garamond"/>
                <w:b/>
                <w:sz w:val="18"/>
                <w:szCs w:val="18"/>
              </w:rPr>
            </w:pPr>
          </w:p>
        </w:tc>
        <w:tc>
          <w:tcPr>
            <w:tcW w:w="2943" w:type="dxa"/>
          </w:tcPr>
          <w:p w14:paraId="5759B215"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b/>
                <w:sz w:val="18"/>
                <w:szCs w:val="18"/>
              </w:rPr>
              <w:t xml:space="preserve">Artículo 10. Itinerancia en zonas focalizadas. </w:t>
            </w:r>
            <w:r w:rsidRPr="00CD7B09">
              <w:rPr>
                <w:rFonts w:ascii="Century Gothic" w:eastAsia="Garamond" w:hAnsi="Century Gothic" w:cs="Garamond"/>
                <w:sz w:val="18"/>
                <w:szCs w:val="18"/>
              </w:rPr>
              <w:t>Los jueces agrarios y rurales de la jurisdicción ordinaria y los jueces agrarios y rurales administrativos de la jurisdicción de lo contencioso administrativo, con base en la competencia que les asigna la presente ley se desplazarán a los municipios definidos en el Decreto Ley 893 de 2017, por el cual se crean los programas de desarrollo con enfoque territorial -PDET-, y a los municipios de mayor conflictividad rural y agraria en el país, sin perjuicio de la ampliación progresiva de la cobertura en todo el territorio, y que se les hubiere asignado por el Consejo Superior de la Judicatura, con el fin de adelantar los asuntos de su competencia.</w:t>
            </w:r>
          </w:p>
          <w:p w14:paraId="2711B383"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18"/>
                <w:szCs w:val="18"/>
              </w:rPr>
            </w:pPr>
          </w:p>
          <w:p w14:paraId="6D2060EF"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trike/>
                <w:sz w:val="18"/>
                <w:szCs w:val="18"/>
              </w:rPr>
            </w:pPr>
            <w:r w:rsidRPr="00CD7B09">
              <w:rPr>
                <w:rFonts w:ascii="Century Gothic" w:eastAsia="Garamond" w:hAnsi="Century Gothic" w:cs="Garamond"/>
                <w:strike/>
                <w:sz w:val="18"/>
                <w:szCs w:val="18"/>
              </w:rPr>
              <w:t>También se priorizará la población y los territorios más necesitados y vulnerables, y las comunidades más afectadas por la miseria, el abandono y el conflicto, con especial atención en los derechos de las víctimas del conflicto, de los niños y niñas, de las mujeres, personas con discapacidad y de las personas adultas mayores.</w:t>
            </w:r>
          </w:p>
          <w:p w14:paraId="0E33A172" w14:textId="77777777" w:rsidR="00B42E60" w:rsidRPr="00CD7B09" w:rsidRDefault="00B42E60" w:rsidP="009F0165">
            <w:pPr>
              <w:ind w:right="49"/>
              <w:jc w:val="center"/>
              <w:rPr>
                <w:rFonts w:ascii="Century Gothic" w:eastAsia="Garamond" w:hAnsi="Century Gothic" w:cs="Garamond"/>
                <w:b/>
                <w:sz w:val="18"/>
                <w:szCs w:val="18"/>
              </w:rPr>
            </w:pPr>
          </w:p>
        </w:tc>
        <w:tc>
          <w:tcPr>
            <w:tcW w:w="2943" w:type="dxa"/>
          </w:tcPr>
          <w:p w14:paraId="6DC54630" w14:textId="77777777" w:rsidR="00B42E60" w:rsidRPr="00CD7B09" w:rsidRDefault="00B42E60" w:rsidP="009F0165">
            <w:pPr>
              <w:ind w:right="49"/>
              <w:jc w:val="center"/>
              <w:rPr>
                <w:rFonts w:ascii="Century Gothic" w:eastAsia="Garamond" w:hAnsi="Century Gothic" w:cs="Garamond"/>
                <w:sz w:val="18"/>
                <w:szCs w:val="18"/>
              </w:rPr>
            </w:pPr>
            <w:r w:rsidRPr="00CD7B09">
              <w:rPr>
                <w:rFonts w:ascii="Century Gothic" w:eastAsia="Garamond" w:hAnsi="Century Gothic" w:cs="Garamond"/>
                <w:sz w:val="18"/>
                <w:szCs w:val="18"/>
              </w:rPr>
              <w:t>Se acoge la proposición dejada como constancia en el debate de Comisión Primera por el HR. Gabriel Jaime Vallejo.</w:t>
            </w:r>
          </w:p>
        </w:tc>
      </w:tr>
      <w:tr w:rsidR="00CD7B09" w:rsidRPr="00CD7B09" w14:paraId="2E93853A" w14:textId="77777777" w:rsidTr="009F0165">
        <w:tc>
          <w:tcPr>
            <w:tcW w:w="2942" w:type="dxa"/>
          </w:tcPr>
          <w:p w14:paraId="7C876899"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b/>
                <w:sz w:val="18"/>
                <w:szCs w:val="18"/>
              </w:rPr>
              <w:t xml:space="preserve">Artículo 18. </w:t>
            </w:r>
            <w:r w:rsidRPr="00CD7B09">
              <w:rPr>
                <w:rFonts w:ascii="Century Gothic" w:eastAsia="Garamond" w:hAnsi="Century Gothic" w:cs="Garamond"/>
                <w:sz w:val="18"/>
                <w:szCs w:val="18"/>
              </w:rPr>
              <w:t>Adiciónense los siguientes incisos al artículo 50 de la Ley 270 de 1996:</w:t>
            </w:r>
          </w:p>
          <w:p w14:paraId="71C4B99A"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18"/>
                <w:szCs w:val="18"/>
              </w:rPr>
            </w:pPr>
            <w:r w:rsidRPr="00CD7B09">
              <w:rPr>
                <w:rFonts w:ascii="Century Gothic" w:eastAsia="Garamond" w:hAnsi="Century Gothic" w:cs="Garamond"/>
                <w:sz w:val="18"/>
                <w:szCs w:val="18"/>
              </w:rPr>
              <w:t>(…)</w:t>
            </w:r>
          </w:p>
          <w:p w14:paraId="23114B3F"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18"/>
                <w:szCs w:val="18"/>
              </w:rPr>
            </w:pPr>
          </w:p>
          <w:p w14:paraId="698084EE"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18"/>
                <w:szCs w:val="18"/>
              </w:rPr>
            </w:pPr>
            <w:r w:rsidRPr="00CD7B09">
              <w:rPr>
                <w:rFonts w:ascii="Century Gothic" w:eastAsia="Garamond" w:hAnsi="Century Gothic" w:cs="Garamond"/>
                <w:sz w:val="18"/>
                <w:szCs w:val="18"/>
              </w:rPr>
              <w:t xml:space="preserve">Los despachos judiciales agrarios y rurales administrativos, así como los jueces agrarios y rurales ordinarios podrán atender la competencia funcional de ambas especialidades con el propósito de garantizar la atención judicial a los ciudadanos rurales en el territorio nacional. Para lo anterior, se deberá asegurar que se ha puesto en marcha el programa de formación en derecho agrario y rural para los jueces ordinarios, y en asuntos ordinarios para los jueces administrativos, de conformidad con lo previsto en el artículo 129 de esta ley. </w:t>
            </w:r>
          </w:p>
          <w:p w14:paraId="02787E86" w14:textId="77777777" w:rsidR="00B42E60" w:rsidRPr="00CD7B09" w:rsidRDefault="00B42E60" w:rsidP="009F016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567" w:right="49"/>
              <w:jc w:val="both"/>
              <w:rPr>
                <w:rFonts w:ascii="Century Gothic" w:eastAsia="Garamond" w:hAnsi="Century Gothic" w:cs="Garamond"/>
                <w:sz w:val="18"/>
                <w:szCs w:val="18"/>
              </w:rPr>
            </w:pPr>
            <w:r w:rsidRPr="00CD7B09">
              <w:rPr>
                <w:rFonts w:ascii="Century Gothic" w:eastAsia="Garamond" w:hAnsi="Century Gothic" w:cs="Garamond"/>
                <w:sz w:val="18"/>
                <w:szCs w:val="18"/>
              </w:rPr>
              <w:t>(…)</w:t>
            </w:r>
          </w:p>
          <w:p w14:paraId="639A88E9"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18"/>
                <w:szCs w:val="18"/>
              </w:rPr>
            </w:pPr>
          </w:p>
        </w:tc>
        <w:tc>
          <w:tcPr>
            <w:tcW w:w="2943" w:type="dxa"/>
          </w:tcPr>
          <w:p w14:paraId="3A832F42"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b/>
                <w:sz w:val="18"/>
                <w:szCs w:val="18"/>
              </w:rPr>
              <w:t xml:space="preserve">Artículo 18. </w:t>
            </w:r>
            <w:r w:rsidRPr="00CD7B09">
              <w:rPr>
                <w:rFonts w:ascii="Century Gothic" w:eastAsia="Garamond" w:hAnsi="Century Gothic" w:cs="Garamond"/>
                <w:sz w:val="18"/>
                <w:szCs w:val="18"/>
              </w:rPr>
              <w:t>Adiciónense los siguientes incisos al artículo 50 de la Ley 270 de 1996:</w:t>
            </w:r>
          </w:p>
          <w:p w14:paraId="55B8D4F0"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18"/>
                <w:szCs w:val="18"/>
              </w:rPr>
            </w:pPr>
            <w:r w:rsidRPr="00CD7B09">
              <w:rPr>
                <w:rFonts w:ascii="Century Gothic" w:eastAsia="Garamond" w:hAnsi="Century Gothic" w:cs="Garamond"/>
                <w:sz w:val="18"/>
                <w:szCs w:val="18"/>
              </w:rPr>
              <w:t>(…)</w:t>
            </w:r>
          </w:p>
          <w:p w14:paraId="2ECDCC7C"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18"/>
                <w:szCs w:val="18"/>
              </w:rPr>
            </w:pPr>
          </w:p>
          <w:p w14:paraId="282A8DF6"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18"/>
                <w:szCs w:val="18"/>
              </w:rPr>
            </w:pPr>
            <w:r w:rsidRPr="00CD7B09">
              <w:rPr>
                <w:rFonts w:ascii="Century Gothic" w:eastAsia="Garamond" w:hAnsi="Century Gothic" w:cs="Garamond"/>
                <w:sz w:val="18"/>
                <w:szCs w:val="18"/>
              </w:rPr>
              <w:t xml:space="preserve">Los despachos judiciales agrarios y rurales administrativos, así como los jueces agrarios y rurales ordinarios podrán atender la competencia funcional de ambas especialidades con el propósito de garantizar la atención judicial a los ciudadanos rurales en el territorio nacional. Para lo anterior, se deberá asegurar que se ha puesto en marcha el programa de formación en derecho agrario y rural para los jueces ordinarios, y en asuntos ordinarios para los jueces administrativos, de conformidad con lo previsto en el artículo </w:t>
            </w:r>
            <w:r w:rsidRPr="00CD7B09">
              <w:rPr>
                <w:rFonts w:ascii="Century Gothic" w:eastAsia="Garamond" w:hAnsi="Century Gothic" w:cs="Garamond"/>
                <w:b/>
                <w:sz w:val="18"/>
                <w:szCs w:val="18"/>
                <w:u w:val="single"/>
              </w:rPr>
              <w:t xml:space="preserve">124 </w:t>
            </w:r>
            <w:r w:rsidRPr="00CD7B09">
              <w:rPr>
                <w:rFonts w:ascii="Century Gothic" w:eastAsia="Garamond" w:hAnsi="Century Gothic" w:cs="Garamond"/>
                <w:strike/>
                <w:sz w:val="18"/>
                <w:szCs w:val="18"/>
              </w:rPr>
              <w:t>129</w:t>
            </w:r>
            <w:r w:rsidRPr="00CD7B09">
              <w:rPr>
                <w:rFonts w:ascii="Century Gothic" w:eastAsia="Garamond" w:hAnsi="Century Gothic" w:cs="Garamond"/>
                <w:sz w:val="18"/>
                <w:szCs w:val="18"/>
              </w:rPr>
              <w:t xml:space="preserve"> de esta ley. </w:t>
            </w:r>
          </w:p>
          <w:p w14:paraId="0394D2D7" w14:textId="77777777" w:rsidR="00B42E60" w:rsidRPr="00CD7B09" w:rsidRDefault="00B42E60" w:rsidP="009F016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567" w:right="49"/>
              <w:jc w:val="both"/>
              <w:rPr>
                <w:rFonts w:ascii="Century Gothic" w:eastAsia="Garamond" w:hAnsi="Century Gothic" w:cs="Garamond"/>
                <w:sz w:val="18"/>
                <w:szCs w:val="18"/>
              </w:rPr>
            </w:pPr>
            <w:r w:rsidRPr="00CD7B09">
              <w:rPr>
                <w:rFonts w:ascii="Century Gothic" w:eastAsia="Garamond" w:hAnsi="Century Gothic" w:cs="Garamond"/>
                <w:sz w:val="18"/>
                <w:szCs w:val="18"/>
              </w:rPr>
              <w:t>(…)</w:t>
            </w:r>
          </w:p>
          <w:p w14:paraId="7F69259E"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18"/>
                <w:szCs w:val="18"/>
              </w:rPr>
            </w:pPr>
          </w:p>
        </w:tc>
        <w:tc>
          <w:tcPr>
            <w:tcW w:w="2943" w:type="dxa"/>
          </w:tcPr>
          <w:p w14:paraId="7FD52258" w14:textId="77777777" w:rsidR="00B42E60" w:rsidRPr="00CD7B09" w:rsidRDefault="00B42E60" w:rsidP="009F0165">
            <w:pPr>
              <w:ind w:right="49"/>
              <w:jc w:val="center"/>
              <w:rPr>
                <w:rFonts w:ascii="Century Gothic" w:eastAsia="Garamond" w:hAnsi="Century Gothic" w:cs="Garamond"/>
                <w:sz w:val="18"/>
                <w:szCs w:val="18"/>
              </w:rPr>
            </w:pPr>
            <w:r w:rsidRPr="00CD7B09">
              <w:rPr>
                <w:rFonts w:ascii="Century Gothic" w:eastAsia="Garamond" w:hAnsi="Century Gothic" w:cs="Garamond"/>
                <w:sz w:val="18"/>
                <w:szCs w:val="18"/>
              </w:rPr>
              <w:t xml:space="preserve">Ajuste de la referencia al artículo de acuerdo a numeración. </w:t>
            </w:r>
          </w:p>
        </w:tc>
      </w:tr>
      <w:tr w:rsidR="00CD7B09" w:rsidRPr="00CD7B09" w14:paraId="7856DEB6" w14:textId="77777777" w:rsidTr="009F0165">
        <w:tc>
          <w:tcPr>
            <w:tcW w:w="2942" w:type="dxa"/>
          </w:tcPr>
          <w:p w14:paraId="6C6AD444"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b/>
                <w:sz w:val="18"/>
                <w:szCs w:val="18"/>
              </w:rPr>
              <w:t xml:space="preserve">Artículo 26. Naturaleza del proceso. </w:t>
            </w:r>
            <w:r w:rsidRPr="00CD7B09">
              <w:rPr>
                <w:rFonts w:ascii="Century Gothic" w:eastAsia="Garamond" w:hAnsi="Century Gothic" w:cs="Garamond"/>
                <w:sz w:val="18"/>
                <w:szCs w:val="18"/>
              </w:rPr>
              <w:t xml:space="preserve">El proceso agrario y rural es un proceso declarativo que se regirá por las reglas especiales previstas en esta ley y en las normas agrarias de carácter especial. </w:t>
            </w:r>
          </w:p>
          <w:p w14:paraId="595E1882"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p>
          <w:p w14:paraId="09DF0AF9"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sz w:val="18"/>
                <w:szCs w:val="18"/>
              </w:rPr>
              <w:t>Parágrafo. Lo previsto en este título se aplicará sin perjuicio del procedimiento dispuesto en la Ley 1561 de 2012 y tendrá en cuenta lo que establece el Decreto Ley 902 de 2017.</w:t>
            </w:r>
          </w:p>
          <w:p w14:paraId="4CB49A78"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18"/>
                <w:szCs w:val="18"/>
              </w:rPr>
            </w:pPr>
          </w:p>
        </w:tc>
        <w:tc>
          <w:tcPr>
            <w:tcW w:w="2943" w:type="dxa"/>
          </w:tcPr>
          <w:p w14:paraId="4796C748"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b/>
                <w:sz w:val="18"/>
                <w:szCs w:val="18"/>
              </w:rPr>
              <w:t xml:space="preserve">Artículo 26. Naturaleza del proceso. </w:t>
            </w:r>
            <w:r w:rsidRPr="00CD7B09">
              <w:rPr>
                <w:rFonts w:ascii="Century Gothic" w:eastAsia="Garamond" w:hAnsi="Century Gothic" w:cs="Garamond"/>
                <w:sz w:val="18"/>
                <w:szCs w:val="18"/>
              </w:rPr>
              <w:t xml:space="preserve">El proceso agrario y rural es un proceso declarativo que se regirá por las reglas especiales previstas en esta ley y en las normas agrarias de carácter especial. </w:t>
            </w:r>
          </w:p>
          <w:p w14:paraId="7E67FF40"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p>
          <w:p w14:paraId="76B8423E"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sz w:val="18"/>
                <w:szCs w:val="18"/>
              </w:rPr>
              <w:t xml:space="preserve">Parágrafo. Lo previsto en este título se aplicará sin perjuicio del procedimiento dispuesto en la Ley </w:t>
            </w:r>
            <w:r w:rsidRPr="00CD7B09">
              <w:rPr>
                <w:rFonts w:ascii="Century Gothic" w:eastAsia="Garamond" w:hAnsi="Century Gothic" w:cs="Garamond"/>
                <w:b/>
                <w:sz w:val="18"/>
                <w:szCs w:val="18"/>
                <w:u w:val="single"/>
              </w:rPr>
              <w:t xml:space="preserve">1564 </w:t>
            </w:r>
            <w:r w:rsidRPr="00CD7B09">
              <w:rPr>
                <w:rFonts w:ascii="Century Gothic" w:eastAsia="Garamond" w:hAnsi="Century Gothic" w:cs="Garamond"/>
                <w:strike/>
                <w:sz w:val="18"/>
                <w:szCs w:val="18"/>
              </w:rPr>
              <w:t>1561</w:t>
            </w:r>
            <w:r w:rsidRPr="00CD7B09">
              <w:rPr>
                <w:rFonts w:ascii="Century Gothic" w:eastAsia="Garamond" w:hAnsi="Century Gothic" w:cs="Garamond"/>
                <w:sz w:val="18"/>
                <w:szCs w:val="18"/>
              </w:rPr>
              <w:t xml:space="preserve"> de 2012 y tendrá en cuenta lo que establece el Decreto Ley 902 de 2017.</w:t>
            </w:r>
          </w:p>
          <w:p w14:paraId="15D23871"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18"/>
                <w:szCs w:val="18"/>
              </w:rPr>
            </w:pPr>
          </w:p>
        </w:tc>
        <w:tc>
          <w:tcPr>
            <w:tcW w:w="2943" w:type="dxa"/>
          </w:tcPr>
          <w:p w14:paraId="3CCBFA87" w14:textId="77777777" w:rsidR="00B42E60" w:rsidRPr="00CD7B09" w:rsidRDefault="00B42E60" w:rsidP="009F0165">
            <w:pPr>
              <w:ind w:right="49"/>
              <w:jc w:val="center"/>
              <w:rPr>
                <w:rFonts w:ascii="Century Gothic" w:eastAsia="Garamond" w:hAnsi="Century Gothic" w:cs="Garamond"/>
                <w:sz w:val="18"/>
                <w:szCs w:val="18"/>
              </w:rPr>
            </w:pPr>
            <w:r w:rsidRPr="00CD7B09">
              <w:rPr>
                <w:rFonts w:ascii="Century Gothic" w:eastAsia="Garamond" w:hAnsi="Century Gothic" w:cs="Garamond"/>
                <w:sz w:val="18"/>
                <w:szCs w:val="18"/>
              </w:rPr>
              <w:t xml:space="preserve">Corrección de typo en la Ley a la que se hace referencia. </w:t>
            </w:r>
          </w:p>
        </w:tc>
      </w:tr>
      <w:tr w:rsidR="00CD7B09" w:rsidRPr="00CD7B09" w14:paraId="4E62400E" w14:textId="77777777" w:rsidTr="009F0165">
        <w:tc>
          <w:tcPr>
            <w:tcW w:w="2942" w:type="dxa"/>
          </w:tcPr>
          <w:p w14:paraId="37AAEBDF"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b/>
                <w:sz w:val="18"/>
                <w:szCs w:val="18"/>
              </w:rPr>
              <w:t xml:space="preserve">Artículo 27. De los asuntos que se tramitan a través del proceso agrario y rural. </w:t>
            </w:r>
            <w:r w:rsidRPr="00CD7B09">
              <w:rPr>
                <w:rFonts w:ascii="Century Gothic" w:eastAsia="Garamond" w:hAnsi="Century Gothic" w:cs="Garamond"/>
                <w:sz w:val="18"/>
                <w:szCs w:val="18"/>
              </w:rPr>
              <w:t>Se tramitarán a través del proceso agrario y rural dispuesto en esta ley los litigios y controversias respecto de los derechos de propiedad, uso y tenencia de bienes inmuebles ubicados en suelo clasificado como rural, así como los derivados de las relaciones económicas de índole agraria, en particular los siguientes asuntos:</w:t>
            </w:r>
          </w:p>
          <w:p w14:paraId="33279850"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sz w:val="18"/>
                <w:szCs w:val="18"/>
              </w:rPr>
              <w:t>(…)</w:t>
            </w:r>
          </w:p>
          <w:p w14:paraId="110B07C9"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sz w:val="18"/>
                <w:szCs w:val="18"/>
              </w:rPr>
              <w:t>25. Procesos de extinción del derecho de dominio que se adelanten por violación de las normas sobre conservación, mejoramiento y utilización racional de los recursos naturales renovables y las relacionadas con la preservación y restauración del ambiente contenidas en el Código Nacional de Recursos Naturales Renovables y de Protección al Medio Ambiente y demás disposiciones pertinentes, entendiendo que hay deterioro o perjuicio sobre los recursos naturales renovables y del ambiente, cuando se realizan conductas o se producen abstenciones que los destruyen, agotan, contaminan, disminuyen, degradan, o cuando se utilizan por encima de los límites permitidos por normas vigentes, alterando sus calidades físicas, químicas o biológicas naturales, o se perturba el derecho de ulterior aprovechamiento en cuanto este convenga al interés público.</w:t>
            </w:r>
          </w:p>
          <w:p w14:paraId="6F3671E0" w14:textId="77777777" w:rsidR="00B42E60" w:rsidRPr="00CD7B09" w:rsidRDefault="00B42E60" w:rsidP="009F0165">
            <w:pPr>
              <w:ind w:right="49"/>
              <w:rPr>
                <w:rFonts w:ascii="Century Gothic" w:eastAsia="Garamond" w:hAnsi="Century Gothic" w:cs="Garamond"/>
                <w:b/>
                <w:sz w:val="18"/>
                <w:szCs w:val="18"/>
              </w:rPr>
            </w:pPr>
            <w:r w:rsidRPr="00CD7B09">
              <w:rPr>
                <w:rFonts w:ascii="Century Gothic" w:eastAsia="Garamond" w:hAnsi="Century Gothic" w:cs="Garamond"/>
                <w:b/>
                <w:sz w:val="18"/>
                <w:szCs w:val="18"/>
              </w:rPr>
              <w:t>(…)</w:t>
            </w:r>
          </w:p>
        </w:tc>
        <w:tc>
          <w:tcPr>
            <w:tcW w:w="2943" w:type="dxa"/>
          </w:tcPr>
          <w:p w14:paraId="16BB7FA3"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b/>
                <w:sz w:val="18"/>
                <w:szCs w:val="18"/>
              </w:rPr>
              <w:t xml:space="preserve">Artículo 27. De los asuntos que se tramitan a través del proceso agrario y rural. </w:t>
            </w:r>
            <w:r w:rsidRPr="00CD7B09">
              <w:rPr>
                <w:rFonts w:ascii="Century Gothic" w:eastAsia="Garamond" w:hAnsi="Century Gothic" w:cs="Garamond"/>
                <w:sz w:val="18"/>
                <w:szCs w:val="18"/>
              </w:rPr>
              <w:t>Se tramitarán a través del proceso agrario y rural dispuesto en esta ley los litigios y controversias respecto de los derechos de propiedad, uso y tenencia de bienes inmuebles ubicados en suelo clasificado como rural, así como los derivados de las relaciones económicas de índole agraria, en particular los siguientes asuntos:</w:t>
            </w:r>
          </w:p>
          <w:p w14:paraId="321C3B00"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sz w:val="18"/>
                <w:szCs w:val="18"/>
              </w:rPr>
              <w:t>(…)</w:t>
            </w:r>
          </w:p>
          <w:p w14:paraId="00103DFB"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trike/>
                <w:sz w:val="18"/>
                <w:szCs w:val="18"/>
              </w:rPr>
            </w:pPr>
            <w:r w:rsidRPr="00CD7B09">
              <w:rPr>
                <w:rFonts w:ascii="Century Gothic" w:eastAsia="Garamond" w:hAnsi="Century Gothic" w:cs="Garamond"/>
                <w:sz w:val="18"/>
                <w:szCs w:val="18"/>
              </w:rPr>
              <w:t>25. Procesos de extinción del derecho de dominio que se adelanten por violación de las normas sobre conservación, mejoramiento y utilización racional de los recursos naturales renovables y las relacionadas con la preservación y restauración del ambiente contenidas en el Código Nacional de Recursos Naturales Renovables y de Protección al Medio Ambiente</w:t>
            </w:r>
            <w:r w:rsidRPr="00CD7B09">
              <w:rPr>
                <w:rFonts w:ascii="Century Gothic" w:eastAsia="Garamond" w:hAnsi="Century Gothic" w:cs="Garamond"/>
                <w:b/>
                <w:sz w:val="18"/>
                <w:szCs w:val="18"/>
                <w:u w:val="single"/>
              </w:rPr>
              <w:t>, la Ley 1333 de 2009</w:t>
            </w:r>
            <w:r w:rsidRPr="00CD7B09">
              <w:rPr>
                <w:rFonts w:ascii="Century Gothic" w:eastAsia="Garamond" w:hAnsi="Century Gothic" w:cs="Garamond"/>
                <w:sz w:val="18"/>
                <w:szCs w:val="18"/>
              </w:rPr>
              <w:t xml:space="preserve"> y demás disposiciones pertinentes, </w:t>
            </w:r>
            <w:r w:rsidRPr="00CD7B09">
              <w:rPr>
                <w:rFonts w:ascii="Century Gothic" w:eastAsia="Garamond" w:hAnsi="Century Gothic" w:cs="Garamond"/>
                <w:b/>
                <w:sz w:val="18"/>
                <w:szCs w:val="18"/>
                <w:u w:val="single"/>
              </w:rPr>
              <w:t xml:space="preserve">una vez agotada la fase administrativa. </w:t>
            </w:r>
            <w:r w:rsidRPr="00CD7B09">
              <w:rPr>
                <w:rFonts w:ascii="Century Gothic" w:eastAsia="Garamond" w:hAnsi="Century Gothic" w:cs="Garamond"/>
                <w:strike/>
                <w:sz w:val="18"/>
                <w:szCs w:val="18"/>
              </w:rPr>
              <w:t>entendiendo que hay deterioro o perjuicio sobre los recursos naturales renovables y del ambiente, cuando se realizan conductas o se producen abstenciones que los destruyen, agotan, contaminan, disminuyen, degradan, o cuando se utilizan por encima de los límites permitidos por normas vigentes, alterando sus calidades físicas, químicas o biológicas naturales, o se perturba el derecho de ulterior aprovechamiento en cuanto este convenga al interés público.</w:t>
            </w:r>
          </w:p>
          <w:p w14:paraId="0A266488" w14:textId="77777777" w:rsidR="00B42E60" w:rsidRPr="00CD7B09" w:rsidRDefault="00B42E60" w:rsidP="009F0165">
            <w:pPr>
              <w:ind w:right="49"/>
              <w:rPr>
                <w:rFonts w:ascii="Century Gothic" w:eastAsia="Garamond" w:hAnsi="Century Gothic" w:cs="Garamond"/>
                <w:b/>
                <w:sz w:val="18"/>
                <w:szCs w:val="18"/>
              </w:rPr>
            </w:pPr>
            <w:r w:rsidRPr="00CD7B09">
              <w:rPr>
                <w:rFonts w:ascii="Century Gothic" w:eastAsia="Garamond" w:hAnsi="Century Gothic" w:cs="Garamond"/>
                <w:b/>
                <w:sz w:val="18"/>
                <w:szCs w:val="18"/>
              </w:rPr>
              <w:t>(…)</w:t>
            </w:r>
          </w:p>
        </w:tc>
        <w:tc>
          <w:tcPr>
            <w:tcW w:w="2943" w:type="dxa"/>
          </w:tcPr>
          <w:p w14:paraId="7DEB7E89" w14:textId="77777777" w:rsidR="00B42E60" w:rsidRPr="00CD7B09" w:rsidRDefault="00B42E60" w:rsidP="009F0165">
            <w:pPr>
              <w:ind w:right="49"/>
              <w:jc w:val="center"/>
              <w:rPr>
                <w:rFonts w:ascii="Century Gothic" w:eastAsia="Garamond" w:hAnsi="Century Gothic" w:cs="Garamond"/>
                <w:sz w:val="18"/>
                <w:szCs w:val="18"/>
              </w:rPr>
            </w:pPr>
            <w:r w:rsidRPr="00CD7B09">
              <w:rPr>
                <w:rFonts w:ascii="Century Gothic" w:eastAsia="Garamond" w:hAnsi="Century Gothic" w:cs="Garamond"/>
                <w:sz w:val="18"/>
                <w:szCs w:val="18"/>
              </w:rPr>
              <w:t xml:space="preserve">Se delimita el alcance del proceso de extinción de dominio en los casos de violaciones a normas sobre conservación, mejoramiento y utilización racial de los recursos naturales renovables, de manera que no se amplíe el </w:t>
            </w:r>
            <w:proofErr w:type="gramStart"/>
            <w:r w:rsidRPr="00CD7B09">
              <w:rPr>
                <w:rFonts w:ascii="Century Gothic" w:eastAsia="Garamond" w:hAnsi="Century Gothic" w:cs="Garamond"/>
                <w:sz w:val="18"/>
                <w:szCs w:val="18"/>
              </w:rPr>
              <w:t>alcance</w:t>
            </w:r>
            <w:proofErr w:type="gramEnd"/>
            <w:r w:rsidRPr="00CD7B09">
              <w:rPr>
                <w:rFonts w:ascii="Century Gothic" w:eastAsia="Garamond" w:hAnsi="Century Gothic" w:cs="Garamond"/>
                <w:sz w:val="18"/>
                <w:szCs w:val="18"/>
              </w:rPr>
              <w:t xml:space="preserve"> pero no se restrinja la extinción existente de conformidad con las normas mencionadas. </w:t>
            </w:r>
          </w:p>
        </w:tc>
      </w:tr>
      <w:tr w:rsidR="00CD7B09" w:rsidRPr="00CD7B09" w14:paraId="7FCEE7D8" w14:textId="77777777" w:rsidTr="009F0165">
        <w:tc>
          <w:tcPr>
            <w:tcW w:w="2942" w:type="dxa"/>
          </w:tcPr>
          <w:p w14:paraId="2A402B49"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b/>
                <w:sz w:val="18"/>
                <w:szCs w:val="18"/>
              </w:rPr>
              <w:t xml:space="preserve">Artículo 48. </w:t>
            </w:r>
            <w:r w:rsidRPr="00CD7B09">
              <w:rPr>
                <w:rFonts w:ascii="Century Gothic" w:eastAsia="Garamond" w:hAnsi="Century Gothic" w:cs="Garamond"/>
                <w:sz w:val="18"/>
                <w:szCs w:val="18"/>
              </w:rPr>
              <w:t>Modifíquese el artículo 73 de la Ley 1564 de 20212, el cual quedará así:</w:t>
            </w:r>
          </w:p>
          <w:p w14:paraId="7AC94CF5"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18"/>
                <w:szCs w:val="18"/>
              </w:rPr>
            </w:pPr>
            <w:r w:rsidRPr="00CD7B09">
              <w:rPr>
                <w:rFonts w:ascii="Century Gothic" w:eastAsia="Garamond" w:hAnsi="Century Gothic" w:cs="Garamond"/>
                <w:sz w:val="18"/>
                <w:szCs w:val="18"/>
              </w:rPr>
              <w:t>(…)</w:t>
            </w:r>
          </w:p>
        </w:tc>
        <w:tc>
          <w:tcPr>
            <w:tcW w:w="2943" w:type="dxa"/>
          </w:tcPr>
          <w:p w14:paraId="179A511C"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b/>
                <w:sz w:val="18"/>
                <w:szCs w:val="18"/>
              </w:rPr>
              <w:t xml:space="preserve">Artículo 48. </w:t>
            </w:r>
            <w:r w:rsidRPr="00CD7B09">
              <w:rPr>
                <w:rFonts w:ascii="Century Gothic" w:eastAsia="Garamond" w:hAnsi="Century Gothic" w:cs="Garamond"/>
                <w:sz w:val="18"/>
                <w:szCs w:val="18"/>
              </w:rPr>
              <w:t xml:space="preserve">Modifíquese el artículo 73 de la Ley 1564 de </w:t>
            </w:r>
            <w:r w:rsidRPr="00CD7B09">
              <w:rPr>
                <w:rFonts w:ascii="Century Gothic" w:eastAsia="Garamond" w:hAnsi="Century Gothic" w:cs="Garamond"/>
                <w:b/>
                <w:sz w:val="18"/>
                <w:szCs w:val="18"/>
                <w:u w:val="single"/>
              </w:rPr>
              <w:t>2012</w:t>
            </w:r>
            <w:r w:rsidRPr="00CD7B09">
              <w:rPr>
                <w:rFonts w:ascii="Century Gothic" w:eastAsia="Garamond" w:hAnsi="Century Gothic" w:cs="Garamond"/>
                <w:sz w:val="18"/>
                <w:szCs w:val="18"/>
              </w:rPr>
              <w:t xml:space="preserve"> </w:t>
            </w:r>
            <w:r w:rsidRPr="00CD7B09">
              <w:rPr>
                <w:rFonts w:ascii="Century Gothic" w:eastAsia="Garamond" w:hAnsi="Century Gothic" w:cs="Garamond"/>
                <w:strike/>
                <w:sz w:val="18"/>
                <w:szCs w:val="18"/>
              </w:rPr>
              <w:t>20212</w:t>
            </w:r>
            <w:r w:rsidRPr="00CD7B09">
              <w:rPr>
                <w:rFonts w:ascii="Century Gothic" w:eastAsia="Garamond" w:hAnsi="Century Gothic" w:cs="Garamond"/>
                <w:sz w:val="18"/>
                <w:szCs w:val="18"/>
              </w:rPr>
              <w:t>, el cual quedará así:</w:t>
            </w:r>
          </w:p>
          <w:p w14:paraId="16266DA0"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18"/>
                <w:szCs w:val="18"/>
              </w:rPr>
            </w:pPr>
            <w:r w:rsidRPr="00CD7B09">
              <w:rPr>
                <w:rFonts w:ascii="Century Gothic" w:eastAsia="Garamond" w:hAnsi="Century Gothic" w:cs="Garamond"/>
                <w:sz w:val="18"/>
                <w:szCs w:val="18"/>
              </w:rPr>
              <w:t>(…)</w:t>
            </w:r>
          </w:p>
        </w:tc>
        <w:tc>
          <w:tcPr>
            <w:tcW w:w="2943" w:type="dxa"/>
          </w:tcPr>
          <w:p w14:paraId="5B484D6B" w14:textId="77777777" w:rsidR="00B42E60" w:rsidRPr="00CD7B09" w:rsidRDefault="00B42E60" w:rsidP="009F0165">
            <w:pPr>
              <w:ind w:right="49"/>
              <w:jc w:val="center"/>
              <w:rPr>
                <w:rFonts w:ascii="Century Gothic" w:eastAsia="Garamond" w:hAnsi="Century Gothic" w:cs="Garamond"/>
                <w:sz w:val="18"/>
                <w:szCs w:val="18"/>
              </w:rPr>
            </w:pPr>
            <w:r w:rsidRPr="00CD7B09">
              <w:rPr>
                <w:rFonts w:ascii="Century Gothic" w:eastAsia="Garamond" w:hAnsi="Century Gothic" w:cs="Garamond"/>
                <w:sz w:val="18"/>
                <w:szCs w:val="18"/>
              </w:rPr>
              <w:t>Corrección de typo en el texto aprobado.</w:t>
            </w:r>
          </w:p>
        </w:tc>
      </w:tr>
      <w:tr w:rsidR="00CD7B09" w:rsidRPr="00CD7B09" w14:paraId="0E1149E4" w14:textId="77777777" w:rsidTr="009F0165">
        <w:tc>
          <w:tcPr>
            <w:tcW w:w="2942" w:type="dxa"/>
          </w:tcPr>
          <w:p w14:paraId="3FA151D7"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Cs/>
                <w:sz w:val="18"/>
                <w:szCs w:val="18"/>
              </w:rPr>
            </w:pPr>
            <w:r w:rsidRPr="00CD7B09">
              <w:rPr>
                <w:rFonts w:ascii="Century Gothic" w:eastAsia="Garamond" w:hAnsi="Century Gothic" w:cs="Garamond"/>
                <w:b/>
                <w:sz w:val="18"/>
                <w:szCs w:val="18"/>
              </w:rPr>
              <w:t>Artículo 49.</w:t>
            </w:r>
            <w:r w:rsidRPr="00CD7B09">
              <w:rPr>
                <w:rFonts w:ascii="Century Gothic" w:eastAsia="Garamond" w:hAnsi="Century Gothic" w:cs="Garamond"/>
                <w:bCs/>
                <w:sz w:val="18"/>
                <w:szCs w:val="18"/>
              </w:rPr>
              <w:t xml:space="preserve"> Modifíquese el artículo 82 de la Ley 1564 de 2012, el cual quedará así:</w:t>
            </w:r>
          </w:p>
          <w:p w14:paraId="2ACD6F10"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Cs/>
                <w:sz w:val="18"/>
                <w:szCs w:val="18"/>
              </w:rPr>
            </w:pPr>
            <w:r w:rsidRPr="00CD7B09">
              <w:rPr>
                <w:rFonts w:ascii="Century Gothic" w:eastAsia="Garamond" w:hAnsi="Century Gothic" w:cs="Garamond"/>
                <w:bCs/>
                <w:sz w:val="18"/>
                <w:szCs w:val="18"/>
              </w:rPr>
              <w:t>(…)</w:t>
            </w:r>
          </w:p>
          <w:p w14:paraId="262A7701"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Cs/>
                <w:sz w:val="18"/>
                <w:szCs w:val="18"/>
              </w:rPr>
            </w:pPr>
            <w:r w:rsidRPr="00CD7B09">
              <w:rPr>
                <w:rFonts w:ascii="Century Gothic" w:eastAsia="Garamond" w:hAnsi="Century Gothic" w:cs="Garamond"/>
                <w:bCs/>
                <w:sz w:val="18"/>
                <w:szCs w:val="18"/>
              </w:rPr>
              <w:t xml:space="preserve">Parágrafo tercero. Cuando se trate de la demanda en asuntos agrarios y rurales, además de lo establecido en este artículo, la demanda deberá indicar: </w:t>
            </w:r>
          </w:p>
          <w:p w14:paraId="46243210" w14:textId="77777777" w:rsidR="00B42E60" w:rsidRPr="00CD7B09" w:rsidRDefault="00B42E60" w:rsidP="009F016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bCs/>
                <w:sz w:val="18"/>
                <w:szCs w:val="18"/>
              </w:rPr>
            </w:pPr>
          </w:p>
          <w:p w14:paraId="75A15B56" w14:textId="77777777" w:rsidR="00B42E60" w:rsidRPr="00CD7B09" w:rsidRDefault="00B42E60" w:rsidP="00CB1679">
            <w:pPr>
              <w:widowControl w:val="0"/>
              <w:numPr>
                <w:ilvl w:val="0"/>
                <w:numId w:val="25"/>
              </w:numPr>
              <w:pBdr>
                <w:top w:val="nil"/>
                <w:left w:val="nil"/>
                <w:bottom w:val="nil"/>
                <w:right w:val="nil"/>
                <w:between w:val="nil"/>
              </w:pBdr>
              <w:spacing w:after="160" w:line="259" w:lineRule="auto"/>
              <w:ind w:left="470" w:right="49" w:hanging="284"/>
              <w:jc w:val="both"/>
              <w:rPr>
                <w:rFonts w:ascii="Century Gothic" w:eastAsia="Garamond" w:hAnsi="Century Gothic" w:cs="Garamond"/>
                <w:bCs/>
                <w:sz w:val="18"/>
                <w:szCs w:val="18"/>
              </w:rPr>
            </w:pPr>
            <w:r w:rsidRPr="00CD7B09">
              <w:rPr>
                <w:rFonts w:ascii="Century Gothic" w:eastAsia="Garamond" w:hAnsi="Century Gothic" w:cs="Garamond"/>
                <w:bCs/>
                <w:sz w:val="18"/>
                <w:szCs w:val="18"/>
              </w:rPr>
              <w:t>Cuando verse sobre bienes inmuebles, la identificación del predio, que deberá incluir los siguientes datos: ubicación (departamento, municipio o corregimiento), colindantes actuales, el nombre con el cual se conoce el predio en la región, identificación registral, número de la matrícula inmobiliaria, identificación catastral y número de la cédula catastral, cuando estas existieran</w:t>
            </w:r>
          </w:p>
          <w:p w14:paraId="4A39F60A" w14:textId="77777777" w:rsidR="00B42E60" w:rsidRPr="00CD7B09" w:rsidRDefault="00B42E60" w:rsidP="009F0165">
            <w:pPr>
              <w:widowControl w:val="0"/>
              <w:pBdr>
                <w:top w:val="nil"/>
                <w:left w:val="nil"/>
                <w:bottom w:val="nil"/>
                <w:right w:val="nil"/>
                <w:between w:val="nil"/>
              </w:pBdr>
              <w:ind w:left="470" w:right="49" w:hanging="284"/>
              <w:jc w:val="both"/>
              <w:rPr>
                <w:rFonts w:ascii="Century Gothic" w:eastAsia="Garamond" w:hAnsi="Century Gothic" w:cs="Garamond"/>
                <w:bCs/>
                <w:sz w:val="18"/>
                <w:szCs w:val="18"/>
              </w:rPr>
            </w:pPr>
          </w:p>
          <w:p w14:paraId="2CA0CAF4" w14:textId="77777777" w:rsidR="00B42E60" w:rsidRPr="00CD7B09" w:rsidRDefault="00B42E60" w:rsidP="00CB1679">
            <w:pPr>
              <w:widowControl w:val="0"/>
              <w:numPr>
                <w:ilvl w:val="0"/>
                <w:numId w:val="25"/>
              </w:numPr>
              <w:pBdr>
                <w:top w:val="nil"/>
                <w:left w:val="nil"/>
                <w:bottom w:val="nil"/>
                <w:right w:val="nil"/>
                <w:between w:val="nil"/>
              </w:pBdr>
              <w:spacing w:after="160" w:line="259" w:lineRule="auto"/>
              <w:ind w:left="470" w:right="49" w:hanging="284"/>
              <w:jc w:val="both"/>
              <w:rPr>
                <w:rFonts w:ascii="Century Gothic" w:eastAsia="Garamond" w:hAnsi="Century Gothic" w:cs="Garamond"/>
                <w:bCs/>
                <w:sz w:val="18"/>
                <w:szCs w:val="18"/>
              </w:rPr>
            </w:pPr>
            <w:r w:rsidRPr="00CD7B09">
              <w:rPr>
                <w:rFonts w:ascii="Century Gothic" w:eastAsia="Garamond" w:hAnsi="Century Gothic" w:cs="Garamond"/>
                <w:bCs/>
                <w:sz w:val="18"/>
                <w:szCs w:val="18"/>
              </w:rPr>
              <w:t>La información de los procedimientos administrativos o procesos judiciales que se adelanten respecto del predio, de los cuales tenga conocimiento el demandante.</w:t>
            </w:r>
          </w:p>
          <w:p w14:paraId="2F96CD01"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470" w:right="49" w:hanging="284"/>
              <w:jc w:val="both"/>
              <w:rPr>
                <w:rFonts w:ascii="Century Gothic" w:eastAsia="Garamond" w:hAnsi="Century Gothic" w:cs="Garamond"/>
                <w:bCs/>
                <w:sz w:val="18"/>
                <w:szCs w:val="18"/>
              </w:rPr>
            </w:pPr>
          </w:p>
          <w:p w14:paraId="47437B73"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Garamond"/>
                <w:bCs/>
                <w:sz w:val="18"/>
                <w:szCs w:val="18"/>
              </w:rPr>
            </w:pPr>
            <w:r w:rsidRPr="00CD7B09">
              <w:rPr>
                <w:rFonts w:ascii="Century Gothic" w:eastAsia="Garamond" w:hAnsi="Century Gothic" w:cs="Garamond"/>
                <w:bCs/>
                <w:sz w:val="18"/>
                <w:szCs w:val="18"/>
              </w:rPr>
              <w:t>Las acciones agrarias se podrán presentar en los formatos que para tal efecto autorice el Consejo Superior de la Judicatura, los cuales serán en todo caso gratuitos.</w:t>
            </w:r>
          </w:p>
          <w:p w14:paraId="02E3CDB0"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470" w:right="49" w:hanging="284"/>
              <w:jc w:val="both"/>
              <w:rPr>
                <w:rFonts w:ascii="Century Gothic" w:eastAsia="Garamond" w:hAnsi="Century Gothic" w:cs="Garamond"/>
                <w:bCs/>
                <w:sz w:val="18"/>
                <w:szCs w:val="18"/>
              </w:rPr>
            </w:pPr>
          </w:p>
          <w:p w14:paraId="7856836B"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Garamond"/>
                <w:bCs/>
                <w:sz w:val="18"/>
                <w:szCs w:val="18"/>
              </w:rPr>
            </w:pPr>
            <w:r w:rsidRPr="00CD7B09">
              <w:rPr>
                <w:rFonts w:ascii="Century Gothic" w:eastAsia="Garamond" w:hAnsi="Century Gothic" w:cs="Garamond"/>
                <w:bCs/>
                <w:sz w:val="18"/>
                <w:szCs w:val="18"/>
              </w:rPr>
              <w:t xml:space="preserve">En los casos en que se dificulte la identificación de un predio y cuando se haya decretado el amparo de pobreza, el juez podrá solicitar de oficio o a petición a la entidad territorial correspondiente o al Instituto Geográfico Agustín Codazzi la información que permita la plena información del predio.  </w:t>
            </w:r>
          </w:p>
          <w:p w14:paraId="29FC9FB4"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18"/>
                <w:szCs w:val="18"/>
              </w:rPr>
            </w:pPr>
          </w:p>
        </w:tc>
        <w:tc>
          <w:tcPr>
            <w:tcW w:w="2943" w:type="dxa"/>
          </w:tcPr>
          <w:p w14:paraId="5E8DE9EA" w14:textId="77777777" w:rsidR="00CB1679"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Cs/>
                <w:sz w:val="18"/>
                <w:szCs w:val="18"/>
              </w:rPr>
            </w:pPr>
            <w:r w:rsidRPr="00CD7B09">
              <w:rPr>
                <w:rFonts w:ascii="Century Gothic" w:eastAsia="Garamond" w:hAnsi="Century Gothic" w:cs="Garamond"/>
                <w:b/>
                <w:sz w:val="18"/>
                <w:szCs w:val="18"/>
              </w:rPr>
              <w:t>Artículo 49.</w:t>
            </w:r>
            <w:r w:rsidRPr="00CD7B09">
              <w:rPr>
                <w:rFonts w:ascii="Century Gothic" w:eastAsia="Garamond" w:hAnsi="Century Gothic" w:cs="Garamond"/>
                <w:bCs/>
                <w:sz w:val="18"/>
                <w:szCs w:val="18"/>
              </w:rPr>
              <w:t xml:space="preserve"> Modifíquese el artículo 82 de la Ley 1564 de 2012, el cual quedará así:</w:t>
            </w:r>
          </w:p>
          <w:p w14:paraId="3686ECE4" w14:textId="05538BF4" w:rsidR="00B42E60" w:rsidRPr="00CD7B09" w:rsidRDefault="00CB1679"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Cs/>
                <w:sz w:val="18"/>
                <w:szCs w:val="18"/>
              </w:rPr>
            </w:pPr>
            <w:r w:rsidRPr="00CD7B09">
              <w:rPr>
                <w:rFonts w:ascii="Century Gothic" w:eastAsia="Garamond" w:hAnsi="Century Gothic" w:cs="Garamond"/>
                <w:bCs/>
                <w:sz w:val="18"/>
                <w:szCs w:val="18"/>
              </w:rPr>
              <w:t xml:space="preserve"> </w:t>
            </w:r>
            <w:r w:rsidR="00B42E60" w:rsidRPr="00CD7B09">
              <w:rPr>
                <w:rFonts w:ascii="Century Gothic" w:eastAsia="Garamond" w:hAnsi="Century Gothic" w:cs="Garamond"/>
                <w:bCs/>
                <w:sz w:val="18"/>
                <w:szCs w:val="18"/>
              </w:rPr>
              <w:t>(…)</w:t>
            </w:r>
          </w:p>
          <w:p w14:paraId="713AC9A8"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Cs/>
                <w:sz w:val="18"/>
                <w:szCs w:val="18"/>
              </w:rPr>
            </w:pPr>
            <w:r w:rsidRPr="00CD7B09">
              <w:rPr>
                <w:rFonts w:ascii="Century Gothic" w:eastAsia="Garamond" w:hAnsi="Century Gothic" w:cs="Garamond"/>
                <w:bCs/>
                <w:sz w:val="18"/>
                <w:szCs w:val="18"/>
              </w:rPr>
              <w:t xml:space="preserve">Parágrafo tercero. Cuando se trate de la demanda en asuntos agrarios y rurales, además de lo establecido en este artículo, la demanda deberá indicar: </w:t>
            </w:r>
          </w:p>
          <w:p w14:paraId="77572245" w14:textId="77777777" w:rsidR="00B42E60" w:rsidRPr="00CD7B09" w:rsidRDefault="00B42E60" w:rsidP="009F016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bCs/>
                <w:sz w:val="18"/>
                <w:szCs w:val="18"/>
              </w:rPr>
            </w:pPr>
          </w:p>
          <w:p w14:paraId="64CAB52A" w14:textId="77777777" w:rsidR="00B42E60" w:rsidRPr="00CD7B09" w:rsidRDefault="00B42E60" w:rsidP="00CB1679">
            <w:pPr>
              <w:widowControl w:val="0"/>
              <w:numPr>
                <w:ilvl w:val="0"/>
                <w:numId w:val="26"/>
              </w:numPr>
              <w:pBdr>
                <w:top w:val="nil"/>
                <w:left w:val="nil"/>
                <w:bottom w:val="nil"/>
                <w:right w:val="nil"/>
                <w:between w:val="nil"/>
              </w:pBdr>
              <w:spacing w:after="160" w:line="259" w:lineRule="auto"/>
              <w:ind w:left="340" w:right="49"/>
              <w:jc w:val="both"/>
              <w:rPr>
                <w:rFonts w:ascii="Century Gothic" w:eastAsia="Garamond" w:hAnsi="Century Gothic" w:cs="Garamond"/>
                <w:bCs/>
                <w:sz w:val="18"/>
                <w:szCs w:val="18"/>
              </w:rPr>
            </w:pPr>
            <w:r w:rsidRPr="00CD7B09">
              <w:rPr>
                <w:rFonts w:ascii="Century Gothic" w:eastAsia="Garamond" w:hAnsi="Century Gothic" w:cs="Garamond"/>
                <w:bCs/>
                <w:sz w:val="18"/>
                <w:szCs w:val="18"/>
              </w:rPr>
              <w:t>Cuando verse sobre bienes inmuebles, la identificación del predio, que deberá incluir los siguientes datos: ubicación (departamento, municipio o corregimiento), colindantes actuales, el nombre con el cual se conoce el predio en la región, identificación registral, número de la matrícula inmobiliaria, identificación catastral y número de la cédula catastral, cuando estas existieran</w:t>
            </w:r>
          </w:p>
          <w:p w14:paraId="4F94EF16" w14:textId="77777777" w:rsidR="00B42E60" w:rsidRPr="00CD7B09" w:rsidRDefault="00B42E60" w:rsidP="009F0165">
            <w:pPr>
              <w:widowControl w:val="0"/>
              <w:pBdr>
                <w:top w:val="nil"/>
                <w:left w:val="nil"/>
                <w:bottom w:val="nil"/>
                <w:right w:val="nil"/>
                <w:between w:val="nil"/>
              </w:pBdr>
              <w:ind w:left="470" w:right="49" w:hanging="284"/>
              <w:jc w:val="both"/>
              <w:rPr>
                <w:rFonts w:ascii="Century Gothic" w:eastAsia="Garamond" w:hAnsi="Century Gothic" w:cs="Garamond"/>
                <w:bCs/>
                <w:sz w:val="18"/>
                <w:szCs w:val="18"/>
              </w:rPr>
            </w:pPr>
          </w:p>
          <w:p w14:paraId="1FA50F3D" w14:textId="77777777" w:rsidR="00B42E60" w:rsidRPr="00CD7B09" w:rsidRDefault="00B42E60" w:rsidP="00CB1679">
            <w:pPr>
              <w:widowControl w:val="0"/>
              <w:numPr>
                <w:ilvl w:val="0"/>
                <w:numId w:val="26"/>
              </w:numPr>
              <w:pBdr>
                <w:top w:val="nil"/>
                <w:left w:val="nil"/>
                <w:bottom w:val="nil"/>
                <w:right w:val="nil"/>
                <w:between w:val="nil"/>
              </w:pBdr>
              <w:spacing w:after="160" w:line="259" w:lineRule="auto"/>
              <w:ind w:left="340" w:right="49" w:hanging="284"/>
              <w:jc w:val="both"/>
              <w:rPr>
                <w:rFonts w:ascii="Century Gothic" w:eastAsia="Garamond" w:hAnsi="Century Gothic" w:cs="Garamond"/>
                <w:bCs/>
                <w:sz w:val="18"/>
                <w:szCs w:val="18"/>
              </w:rPr>
            </w:pPr>
            <w:r w:rsidRPr="00CD7B09">
              <w:rPr>
                <w:rFonts w:ascii="Century Gothic" w:eastAsia="Garamond" w:hAnsi="Century Gothic" w:cs="Garamond"/>
                <w:bCs/>
                <w:sz w:val="18"/>
                <w:szCs w:val="18"/>
              </w:rPr>
              <w:t>La información de los procedimientos administrativos o procesos judiciales que se adelanten respecto del predio, de los cuales tenga conocimiento el demandante.</w:t>
            </w:r>
          </w:p>
          <w:p w14:paraId="1A464E63"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470" w:right="49" w:hanging="284"/>
              <w:jc w:val="both"/>
              <w:rPr>
                <w:rFonts w:ascii="Century Gothic" w:eastAsia="Garamond" w:hAnsi="Century Gothic" w:cs="Garamond"/>
                <w:bCs/>
                <w:sz w:val="18"/>
                <w:szCs w:val="18"/>
              </w:rPr>
            </w:pPr>
          </w:p>
          <w:p w14:paraId="1639DA6C"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Garamond"/>
                <w:bCs/>
                <w:sz w:val="18"/>
                <w:szCs w:val="18"/>
              </w:rPr>
            </w:pPr>
            <w:r w:rsidRPr="00CD7B09">
              <w:rPr>
                <w:rFonts w:ascii="Century Gothic" w:eastAsia="Garamond" w:hAnsi="Century Gothic" w:cs="Garamond"/>
                <w:bCs/>
                <w:sz w:val="18"/>
                <w:szCs w:val="18"/>
              </w:rPr>
              <w:t>Las acciones agrarias se podrán presentar en los formatos que para tal efecto autorice el Consejo Superior de la Judicatura, los cuales serán en todo caso gratuitos.</w:t>
            </w:r>
          </w:p>
          <w:p w14:paraId="0130E1EF" w14:textId="77777777" w:rsidR="00D81420" w:rsidRPr="00CD7B09" w:rsidRDefault="00D8142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Garamond"/>
                <w:bCs/>
                <w:sz w:val="18"/>
                <w:szCs w:val="18"/>
              </w:rPr>
            </w:pPr>
          </w:p>
          <w:p w14:paraId="447D2C63"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bCs/>
                <w:sz w:val="18"/>
                <w:szCs w:val="18"/>
                <w:u w:val="single"/>
              </w:rPr>
            </w:pPr>
            <w:r w:rsidRPr="00CD7B09">
              <w:rPr>
                <w:rFonts w:ascii="Century Gothic" w:eastAsia="Garamond" w:hAnsi="Century Gothic" w:cs="Garamond"/>
                <w:b/>
                <w:bCs/>
                <w:sz w:val="18"/>
                <w:szCs w:val="18"/>
                <w:u w:val="single"/>
              </w:rPr>
              <w:t xml:space="preserve">La presentación de las demandas en asuntos agrarios y rurales estará acompañada, a solicitud del accionante, de la asesoría del facilitador que integra el despacho agrario y rural correspondiente. </w:t>
            </w:r>
          </w:p>
          <w:p w14:paraId="4B583769" w14:textId="77777777" w:rsidR="00D81420" w:rsidRPr="00CD7B09" w:rsidRDefault="00D8142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bCs/>
                <w:sz w:val="18"/>
                <w:szCs w:val="18"/>
                <w:u w:val="single"/>
              </w:rPr>
            </w:pPr>
          </w:p>
          <w:p w14:paraId="111CB2ED" w14:textId="77777777" w:rsidR="00B42E60" w:rsidRPr="00CD7B09" w:rsidRDefault="00B42E60" w:rsidP="009F0165">
            <w:pPr>
              <w:rPr>
                <w:rFonts w:ascii="Century Gothic" w:eastAsia="Garamond" w:hAnsi="Century Gothic" w:cs="Garamond"/>
                <w:bCs/>
                <w:sz w:val="18"/>
                <w:szCs w:val="18"/>
              </w:rPr>
            </w:pPr>
            <w:r w:rsidRPr="00CD7B09">
              <w:rPr>
                <w:rFonts w:ascii="Century Gothic" w:eastAsia="Garamond" w:hAnsi="Century Gothic" w:cs="Garamond"/>
                <w:bCs/>
                <w:sz w:val="18"/>
                <w:szCs w:val="18"/>
              </w:rPr>
              <w:t>En los casos en que se dificulte la identificación de un predio y cuando se haya decretado el amparo de pobreza, el juez podrá solicitar de oficio o a petición a la entidad territorial correspondiente o al Instituto Geográfico Agustín Codazzi la información que permita la plena información del predio.</w:t>
            </w:r>
          </w:p>
          <w:p w14:paraId="1508E33A"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18"/>
                <w:szCs w:val="18"/>
              </w:rPr>
            </w:pPr>
          </w:p>
        </w:tc>
        <w:tc>
          <w:tcPr>
            <w:tcW w:w="2943" w:type="dxa"/>
          </w:tcPr>
          <w:p w14:paraId="1101D33B" w14:textId="77777777" w:rsidR="00B42E60" w:rsidRPr="00CD7B09" w:rsidRDefault="00B42E60" w:rsidP="009F0165">
            <w:pPr>
              <w:ind w:right="49"/>
              <w:jc w:val="center"/>
              <w:rPr>
                <w:rFonts w:ascii="Century Gothic" w:eastAsia="Garamond" w:hAnsi="Century Gothic" w:cs="Garamond"/>
                <w:sz w:val="18"/>
                <w:szCs w:val="18"/>
              </w:rPr>
            </w:pPr>
            <w:r w:rsidRPr="00CD7B09">
              <w:rPr>
                <w:rFonts w:ascii="Century Gothic" w:eastAsia="Garamond" w:hAnsi="Century Gothic" w:cs="Garamond"/>
                <w:sz w:val="18"/>
                <w:szCs w:val="18"/>
              </w:rPr>
              <w:t xml:space="preserve">Se agrega un inciso con el fin de fortalecer el acompañamiento del facilitador, como un actor que acompaña el proceso, dentro de las presentaciones de demandas por parte de los interesados. </w:t>
            </w:r>
          </w:p>
        </w:tc>
      </w:tr>
      <w:tr w:rsidR="00CD7B09" w:rsidRPr="00CD7B09" w14:paraId="2598305F" w14:textId="77777777" w:rsidTr="009F0165">
        <w:tc>
          <w:tcPr>
            <w:tcW w:w="2942" w:type="dxa"/>
          </w:tcPr>
          <w:p w14:paraId="484C5FEF"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
                <w:sz w:val="18"/>
                <w:szCs w:val="18"/>
              </w:rPr>
            </w:pPr>
            <w:r w:rsidRPr="00CD7B09">
              <w:rPr>
                <w:rFonts w:ascii="Century Gothic" w:eastAsia="Garamond" w:hAnsi="Century Gothic" w:cs="Helvetica"/>
                <w:b/>
                <w:sz w:val="18"/>
                <w:szCs w:val="18"/>
              </w:rPr>
              <w:t xml:space="preserve">Artículo 62. </w:t>
            </w:r>
            <w:r w:rsidRPr="00CD7B09">
              <w:rPr>
                <w:rFonts w:ascii="Century Gothic" w:eastAsia="Garamond" w:hAnsi="Century Gothic" w:cs="Helvetica"/>
                <w:sz w:val="18"/>
                <w:szCs w:val="18"/>
              </w:rPr>
              <w:t>Adiciónese el artículo 421</w:t>
            </w:r>
            <w:r w:rsidRPr="00CD7B09">
              <w:rPr>
                <w:rFonts w:ascii="Century Gothic" w:eastAsia="Garamond" w:hAnsi="Century Gothic" w:cs="Helvetica"/>
                <w:bCs/>
                <w:sz w:val="18"/>
                <w:szCs w:val="18"/>
              </w:rPr>
              <w:t>I</w:t>
            </w:r>
            <w:r w:rsidRPr="00CD7B09">
              <w:rPr>
                <w:rFonts w:ascii="Century Gothic" w:eastAsia="Garamond" w:hAnsi="Century Gothic" w:cs="Helvetica"/>
                <w:sz w:val="18"/>
                <w:szCs w:val="18"/>
              </w:rPr>
              <w:t xml:space="preserve"> a la Ley 1564 de 2012, el cual quedará así:</w:t>
            </w:r>
          </w:p>
          <w:p w14:paraId="35091ED4"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Helvetica"/>
                <w:sz w:val="18"/>
                <w:szCs w:val="18"/>
              </w:rPr>
            </w:pPr>
          </w:p>
          <w:p w14:paraId="39F07E09"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18"/>
                <w:szCs w:val="18"/>
              </w:rPr>
            </w:pPr>
            <w:r w:rsidRPr="00CD7B09">
              <w:rPr>
                <w:rFonts w:ascii="Century Gothic" w:eastAsia="Garamond" w:hAnsi="Century Gothic" w:cs="Helvetica"/>
                <w:sz w:val="18"/>
                <w:szCs w:val="18"/>
              </w:rPr>
              <w:t>Artículo 421</w:t>
            </w:r>
            <w:r w:rsidRPr="00CD7B09">
              <w:rPr>
                <w:rFonts w:ascii="Century Gothic" w:eastAsia="Garamond" w:hAnsi="Century Gothic" w:cs="Helvetica"/>
                <w:bCs/>
                <w:sz w:val="18"/>
                <w:szCs w:val="18"/>
              </w:rPr>
              <w:t>I</w:t>
            </w:r>
            <w:r w:rsidRPr="00CD7B09">
              <w:rPr>
                <w:rFonts w:ascii="Century Gothic" w:eastAsia="Garamond" w:hAnsi="Century Gothic" w:cs="Helvetica"/>
                <w:sz w:val="18"/>
                <w:szCs w:val="18"/>
              </w:rPr>
              <w:t xml:space="preserve">. Sentencia. El juez proferirá sentencia dentro de los treinta (30) días siguientes a la audiencia pública, conforme al artículo 280 y al parágrafo segundo del artículo 281 de la Ley 1564 de 2012. Igualmente, atenderá lo dispuesto en esta Ley respecto a la posibilidad de fallar “ultra o extra petita”. </w:t>
            </w:r>
          </w:p>
          <w:p w14:paraId="5A2002FF"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18"/>
                <w:szCs w:val="18"/>
              </w:rPr>
            </w:pPr>
            <w:r w:rsidRPr="00CD7B09">
              <w:rPr>
                <w:rFonts w:ascii="Century Gothic" w:eastAsia="Garamond" w:hAnsi="Century Gothic" w:cs="Helvetica"/>
                <w:sz w:val="18"/>
                <w:szCs w:val="18"/>
              </w:rPr>
              <w:t>(…)</w:t>
            </w:r>
          </w:p>
        </w:tc>
        <w:tc>
          <w:tcPr>
            <w:tcW w:w="2943" w:type="dxa"/>
          </w:tcPr>
          <w:p w14:paraId="191FE7C7"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
                <w:sz w:val="18"/>
                <w:szCs w:val="18"/>
              </w:rPr>
            </w:pPr>
            <w:r w:rsidRPr="00CD7B09">
              <w:rPr>
                <w:rFonts w:ascii="Century Gothic" w:eastAsia="Garamond" w:hAnsi="Century Gothic" w:cs="Helvetica"/>
                <w:b/>
                <w:sz w:val="18"/>
                <w:szCs w:val="18"/>
              </w:rPr>
              <w:t xml:space="preserve">Artículo 62. </w:t>
            </w:r>
            <w:r w:rsidRPr="00CD7B09">
              <w:rPr>
                <w:rFonts w:ascii="Century Gothic" w:eastAsia="Garamond" w:hAnsi="Century Gothic" w:cs="Helvetica"/>
                <w:sz w:val="18"/>
                <w:szCs w:val="18"/>
              </w:rPr>
              <w:t>Adiciónese el artículo 421</w:t>
            </w:r>
            <w:r w:rsidRPr="00CD7B09">
              <w:rPr>
                <w:rFonts w:ascii="Century Gothic" w:eastAsia="Garamond" w:hAnsi="Century Gothic" w:cs="Helvetica"/>
                <w:bCs/>
                <w:sz w:val="18"/>
                <w:szCs w:val="18"/>
              </w:rPr>
              <w:t>I</w:t>
            </w:r>
            <w:r w:rsidRPr="00CD7B09">
              <w:rPr>
                <w:rFonts w:ascii="Century Gothic" w:eastAsia="Garamond" w:hAnsi="Century Gothic" w:cs="Helvetica"/>
                <w:sz w:val="18"/>
                <w:szCs w:val="18"/>
              </w:rPr>
              <w:t xml:space="preserve"> a la Ley 1564 de 2012, el cual quedará así:</w:t>
            </w:r>
          </w:p>
          <w:p w14:paraId="780B696C"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Helvetica"/>
                <w:sz w:val="18"/>
                <w:szCs w:val="18"/>
              </w:rPr>
            </w:pPr>
          </w:p>
          <w:p w14:paraId="68D853E9"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18"/>
                <w:szCs w:val="18"/>
              </w:rPr>
            </w:pPr>
            <w:r w:rsidRPr="00CD7B09">
              <w:rPr>
                <w:rFonts w:ascii="Century Gothic" w:eastAsia="Garamond" w:hAnsi="Century Gothic" w:cs="Helvetica"/>
                <w:sz w:val="18"/>
                <w:szCs w:val="18"/>
              </w:rPr>
              <w:t>Artículo 421</w:t>
            </w:r>
            <w:r w:rsidRPr="00CD7B09">
              <w:rPr>
                <w:rFonts w:ascii="Century Gothic" w:eastAsia="Garamond" w:hAnsi="Century Gothic" w:cs="Helvetica"/>
                <w:bCs/>
                <w:sz w:val="18"/>
                <w:szCs w:val="18"/>
              </w:rPr>
              <w:t>I</w:t>
            </w:r>
            <w:r w:rsidRPr="00CD7B09">
              <w:rPr>
                <w:rFonts w:ascii="Century Gothic" w:eastAsia="Garamond" w:hAnsi="Century Gothic" w:cs="Helvetica"/>
                <w:sz w:val="18"/>
                <w:szCs w:val="18"/>
              </w:rPr>
              <w:t xml:space="preserve">. Sentencia. El juez proferirá sentencia dentro de los treinta (30) días siguientes a la audiencia pública, conforme al artículo 280 y al parágrafo segundo del artículo 281 de la Ley 1564 de 2012. Igualmente, atenderá lo dispuesto en </w:t>
            </w:r>
            <w:r w:rsidRPr="00CD7B09">
              <w:rPr>
                <w:rFonts w:ascii="Century Gothic" w:eastAsia="Garamond" w:hAnsi="Century Gothic" w:cs="Garamond"/>
                <w:b/>
                <w:sz w:val="18"/>
                <w:szCs w:val="18"/>
                <w:u w:val="single"/>
              </w:rPr>
              <w:t xml:space="preserve">el parágrafo 2 del artículo 281 de la Ley 1564 de </w:t>
            </w:r>
            <w:proofErr w:type="gramStart"/>
            <w:r w:rsidRPr="00CD7B09">
              <w:rPr>
                <w:rFonts w:ascii="Century Gothic" w:eastAsia="Garamond" w:hAnsi="Century Gothic" w:cs="Garamond"/>
                <w:b/>
                <w:sz w:val="18"/>
                <w:szCs w:val="18"/>
                <w:u w:val="single"/>
              </w:rPr>
              <w:t>2012,</w:t>
            </w:r>
            <w:r w:rsidRPr="00CD7B09">
              <w:rPr>
                <w:rFonts w:ascii="Century Gothic" w:eastAsia="Garamond" w:hAnsi="Century Gothic" w:cs="Garamond"/>
                <w:strike/>
                <w:sz w:val="18"/>
                <w:szCs w:val="18"/>
              </w:rPr>
              <w:t xml:space="preserve"> </w:t>
            </w:r>
            <w:r w:rsidRPr="00CD7B09">
              <w:rPr>
                <w:rFonts w:ascii="Century Gothic" w:eastAsia="Garamond" w:hAnsi="Century Gothic" w:cs="Helvetica"/>
                <w:sz w:val="18"/>
                <w:szCs w:val="18"/>
              </w:rPr>
              <w:t xml:space="preserve"> </w:t>
            </w:r>
            <w:r w:rsidRPr="00CD7B09">
              <w:rPr>
                <w:rFonts w:ascii="Century Gothic" w:eastAsia="Garamond" w:hAnsi="Century Gothic" w:cs="Helvetica"/>
                <w:strike/>
                <w:sz w:val="18"/>
                <w:szCs w:val="18"/>
              </w:rPr>
              <w:t>esta</w:t>
            </w:r>
            <w:proofErr w:type="gramEnd"/>
            <w:r w:rsidRPr="00CD7B09">
              <w:rPr>
                <w:rFonts w:ascii="Century Gothic" w:eastAsia="Garamond" w:hAnsi="Century Gothic" w:cs="Helvetica"/>
                <w:strike/>
                <w:sz w:val="18"/>
                <w:szCs w:val="18"/>
              </w:rPr>
              <w:t xml:space="preserve"> Ley</w:t>
            </w:r>
            <w:r w:rsidRPr="00CD7B09">
              <w:rPr>
                <w:rFonts w:ascii="Century Gothic" w:eastAsia="Garamond" w:hAnsi="Century Gothic" w:cs="Helvetica"/>
                <w:sz w:val="18"/>
                <w:szCs w:val="18"/>
              </w:rPr>
              <w:t xml:space="preserve"> respecto a la posibilidad de fallar “ultra o extra petita”.</w:t>
            </w:r>
          </w:p>
          <w:p w14:paraId="4E17FF44"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18"/>
                <w:szCs w:val="18"/>
              </w:rPr>
            </w:pPr>
            <w:r w:rsidRPr="00CD7B09">
              <w:rPr>
                <w:rFonts w:ascii="Century Gothic" w:eastAsia="Garamond" w:hAnsi="Century Gothic" w:cs="Helvetica"/>
                <w:sz w:val="18"/>
                <w:szCs w:val="18"/>
              </w:rPr>
              <w:t>(…)</w:t>
            </w:r>
          </w:p>
        </w:tc>
        <w:tc>
          <w:tcPr>
            <w:tcW w:w="2943" w:type="dxa"/>
          </w:tcPr>
          <w:p w14:paraId="09A8A395" w14:textId="77777777" w:rsidR="00B42E60" w:rsidRPr="00CD7B09" w:rsidRDefault="00B42E60" w:rsidP="009F0165">
            <w:pPr>
              <w:ind w:right="49"/>
              <w:jc w:val="center"/>
              <w:rPr>
                <w:rFonts w:ascii="Century Gothic" w:eastAsia="Garamond" w:hAnsi="Century Gothic" w:cs="Garamond"/>
                <w:sz w:val="18"/>
                <w:szCs w:val="18"/>
              </w:rPr>
            </w:pPr>
            <w:r w:rsidRPr="00CD7B09">
              <w:rPr>
                <w:rFonts w:ascii="Century Gothic" w:eastAsia="Garamond" w:hAnsi="Century Gothic" w:cs="Garamond"/>
                <w:sz w:val="18"/>
                <w:szCs w:val="18"/>
              </w:rPr>
              <w:t>Ajuste de la mención al art. 19 del proyecto de ley, en virtud de su eliminación. Se menciona, en cambio el art. 281 del CGP que consagra dicha la facultad.</w:t>
            </w:r>
          </w:p>
        </w:tc>
      </w:tr>
      <w:tr w:rsidR="00CD7B09" w:rsidRPr="00CD7B09" w14:paraId="0FA37680" w14:textId="77777777" w:rsidTr="009F0165">
        <w:trPr>
          <w:trHeight w:val="474"/>
        </w:trPr>
        <w:tc>
          <w:tcPr>
            <w:tcW w:w="2942" w:type="dxa"/>
          </w:tcPr>
          <w:p w14:paraId="5A846A8D"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b/>
                <w:sz w:val="18"/>
                <w:szCs w:val="18"/>
              </w:rPr>
              <w:t xml:space="preserve">Artículo 84. </w:t>
            </w:r>
            <w:r w:rsidRPr="00CD7B09">
              <w:rPr>
                <w:rFonts w:ascii="Century Gothic" w:eastAsia="Garamond" w:hAnsi="Century Gothic" w:cs="Garamond"/>
                <w:sz w:val="18"/>
                <w:szCs w:val="18"/>
              </w:rPr>
              <w:t>Adiciónese el artículo 247S a la Ley 1437 de 2011, el cual quedará así:</w:t>
            </w:r>
          </w:p>
          <w:p w14:paraId="24F88C59"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18"/>
                <w:szCs w:val="18"/>
              </w:rPr>
            </w:pPr>
          </w:p>
          <w:p w14:paraId="6E2D0619"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18"/>
                <w:szCs w:val="18"/>
              </w:rPr>
            </w:pPr>
            <w:r w:rsidRPr="00CD7B09">
              <w:rPr>
                <w:rFonts w:ascii="Century Gothic" w:eastAsia="Garamond" w:hAnsi="Century Gothic" w:cs="Garamond"/>
                <w:sz w:val="18"/>
                <w:szCs w:val="18"/>
              </w:rPr>
              <w:t>Artículo 247S. Sentencia. El juez proferirá sentencia dentro de los treinta (30) días siguientes a la audiencia pública, conforme al artículo 187 de este código y al parágrafo segundo del artículo 281 de la Ley 1564 de 2012. Igualmente, atenderá lo dispuesto en el artículo 19 de esta Ley, respecto a la posibilidad de fallar “ultra o extra petita”.</w:t>
            </w:r>
          </w:p>
          <w:p w14:paraId="504FF022"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18"/>
                <w:szCs w:val="18"/>
              </w:rPr>
            </w:pPr>
            <w:r w:rsidRPr="00CD7B09">
              <w:rPr>
                <w:rFonts w:ascii="Century Gothic" w:eastAsia="Garamond" w:hAnsi="Century Gothic" w:cs="Garamond"/>
                <w:b/>
                <w:sz w:val="18"/>
                <w:szCs w:val="18"/>
              </w:rPr>
              <w:t>(…)</w:t>
            </w:r>
          </w:p>
        </w:tc>
        <w:tc>
          <w:tcPr>
            <w:tcW w:w="2943" w:type="dxa"/>
          </w:tcPr>
          <w:p w14:paraId="25BC165B"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b/>
                <w:sz w:val="18"/>
                <w:szCs w:val="18"/>
              </w:rPr>
              <w:t xml:space="preserve">Artículo 84. </w:t>
            </w:r>
            <w:r w:rsidRPr="00CD7B09">
              <w:rPr>
                <w:rFonts w:ascii="Century Gothic" w:eastAsia="Garamond" w:hAnsi="Century Gothic" w:cs="Garamond"/>
                <w:sz w:val="18"/>
                <w:szCs w:val="18"/>
              </w:rPr>
              <w:t>Adiciónese el artículo 247</w:t>
            </w:r>
            <w:r w:rsidRPr="00CD7B09">
              <w:rPr>
                <w:rFonts w:ascii="Century Gothic" w:eastAsia="Garamond" w:hAnsi="Century Gothic" w:cs="Garamond"/>
                <w:b/>
                <w:sz w:val="18"/>
                <w:szCs w:val="18"/>
                <w:u w:val="single"/>
              </w:rPr>
              <w:t>T</w:t>
            </w:r>
            <w:r w:rsidRPr="00CD7B09">
              <w:rPr>
                <w:rFonts w:ascii="Century Gothic" w:eastAsia="Garamond" w:hAnsi="Century Gothic" w:cs="Garamond"/>
                <w:strike/>
                <w:sz w:val="18"/>
                <w:szCs w:val="18"/>
              </w:rPr>
              <w:t>S</w:t>
            </w:r>
            <w:r w:rsidRPr="00CD7B09">
              <w:rPr>
                <w:rFonts w:ascii="Century Gothic" w:eastAsia="Garamond" w:hAnsi="Century Gothic" w:cs="Garamond"/>
                <w:sz w:val="18"/>
                <w:szCs w:val="18"/>
              </w:rPr>
              <w:t xml:space="preserve"> a la Ley 1437 de 2011, el cual quedará así:</w:t>
            </w:r>
          </w:p>
          <w:p w14:paraId="3BB257E8"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18"/>
                <w:szCs w:val="18"/>
              </w:rPr>
            </w:pPr>
          </w:p>
          <w:p w14:paraId="43E3379F"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18"/>
                <w:szCs w:val="18"/>
              </w:rPr>
            </w:pPr>
            <w:r w:rsidRPr="00CD7B09">
              <w:rPr>
                <w:rFonts w:ascii="Century Gothic" w:eastAsia="Garamond" w:hAnsi="Century Gothic" w:cs="Garamond"/>
                <w:sz w:val="18"/>
                <w:szCs w:val="18"/>
              </w:rPr>
              <w:t>Artículo 247</w:t>
            </w:r>
            <w:r w:rsidRPr="00CD7B09">
              <w:rPr>
                <w:rFonts w:ascii="Century Gothic" w:eastAsia="Garamond" w:hAnsi="Century Gothic" w:cs="Garamond"/>
                <w:b/>
                <w:sz w:val="18"/>
                <w:szCs w:val="18"/>
                <w:u w:val="single"/>
              </w:rPr>
              <w:t>T</w:t>
            </w:r>
            <w:r w:rsidRPr="00CD7B09">
              <w:rPr>
                <w:rFonts w:ascii="Century Gothic" w:eastAsia="Garamond" w:hAnsi="Century Gothic" w:cs="Garamond"/>
                <w:strike/>
                <w:sz w:val="18"/>
                <w:szCs w:val="18"/>
              </w:rPr>
              <w:t>S</w:t>
            </w:r>
            <w:r w:rsidRPr="00CD7B09">
              <w:rPr>
                <w:rFonts w:ascii="Century Gothic" w:eastAsia="Garamond" w:hAnsi="Century Gothic" w:cs="Garamond"/>
                <w:sz w:val="18"/>
                <w:szCs w:val="18"/>
              </w:rPr>
              <w:t>. Sentencia. El juez proferirá sentencia dentro de los treinta (30) días siguientes a la audiencia pública, conforme al artículo 187 de este código y al parágrafo segundo del artículo 281 de la Ley 1564 de 2012. Igualmente, atenderá lo dispuesto en el</w:t>
            </w:r>
            <w:r w:rsidRPr="00CD7B09">
              <w:rPr>
                <w:rFonts w:ascii="Century Gothic" w:eastAsia="Garamond" w:hAnsi="Century Gothic" w:cs="Garamond"/>
                <w:strike/>
                <w:sz w:val="18"/>
                <w:szCs w:val="18"/>
              </w:rPr>
              <w:t xml:space="preserve"> </w:t>
            </w:r>
            <w:r w:rsidRPr="00CD7B09">
              <w:rPr>
                <w:rFonts w:ascii="Century Gothic" w:eastAsia="Garamond" w:hAnsi="Century Gothic" w:cs="Garamond"/>
                <w:b/>
                <w:sz w:val="18"/>
                <w:szCs w:val="18"/>
                <w:u w:val="single"/>
              </w:rPr>
              <w:t>parágrafo 2 del artículo 281 de la Ley 1564 de 2012,</w:t>
            </w:r>
            <w:r w:rsidRPr="00CD7B09">
              <w:rPr>
                <w:rFonts w:ascii="Century Gothic" w:eastAsia="Garamond" w:hAnsi="Century Gothic" w:cs="Garamond"/>
                <w:strike/>
                <w:sz w:val="18"/>
                <w:szCs w:val="18"/>
              </w:rPr>
              <w:t xml:space="preserve"> artículo 19 de esta Ley</w:t>
            </w:r>
            <w:r w:rsidRPr="00CD7B09">
              <w:rPr>
                <w:rFonts w:ascii="Century Gothic" w:eastAsia="Garamond" w:hAnsi="Century Gothic" w:cs="Garamond"/>
                <w:sz w:val="18"/>
                <w:szCs w:val="18"/>
              </w:rPr>
              <w:t>, respecto a la posibilidad de fallar “ultra o extra petita”.</w:t>
            </w:r>
          </w:p>
          <w:p w14:paraId="7ED9AE84"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18"/>
                <w:szCs w:val="18"/>
              </w:rPr>
            </w:pPr>
            <w:r w:rsidRPr="00CD7B09">
              <w:rPr>
                <w:rFonts w:ascii="Century Gothic" w:eastAsia="Garamond" w:hAnsi="Century Gothic" w:cs="Garamond"/>
                <w:b/>
                <w:sz w:val="18"/>
                <w:szCs w:val="18"/>
              </w:rPr>
              <w:t>(…)</w:t>
            </w:r>
          </w:p>
        </w:tc>
        <w:tc>
          <w:tcPr>
            <w:tcW w:w="2943" w:type="dxa"/>
          </w:tcPr>
          <w:p w14:paraId="00090368" w14:textId="77777777" w:rsidR="00B42E60" w:rsidRPr="00CD7B09" w:rsidRDefault="00B42E60" w:rsidP="009F0165">
            <w:pPr>
              <w:ind w:right="49"/>
              <w:jc w:val="center"/>
              <w:rPr>
                <w:rFonts w:ascii="Century Gothic" w:eastAsia="Garamond" w:hAnsi="Century Gothic" w:cs="Garamond"/>
                <w:sz w:val="18"/>
                <w:szCs w:val="18"/>
              </w:rPr>
            </w:pPr>
            <w:r w:rsidRPr="00CD7B09">
              <w:rPr>
                <w:rFonts w:ascii="Century Gothic" w:eastAsia="Garamond" w:hAnsi="Century Gothic" w:cs="Garamond"/>
                <w:sz w:val="18"/>
                <w:szCs w:val="18"/>
              </w:rPr>
              <w:t xml:space="preserve">Corrección de numeración del artículo. </w:t>
            </w:r>
          </w:p>
          <w:p w14:paraId="74D44D39" w14:textId="77777777" w:rsidR="00B42E60" w:rsidRPr="00CD7B09" w:rsidRDefault="00B42E60" w:rsidP="009F0165">
            <w:pPr>
              <w:ind w:right="49"/>
              <w:jc w:val="center"/>
              <w:rPr>
                <w:rFonts w:ascii="Century Gothic" w:eastAsia="Garamond" w:hAnsi="Century Gothic" w:cs="Garamond"/>
                <w:sz w:val="18"/>
                <w:szCs w:val="18"/>
              </w:rPr>
            </w:pPr>
            <w:r w:rsidRPr="00CD7B09">
              <w:rPr>
                <w:rFonts w:ascii="Century Gothic" w:eastAsia="Garamond" w:hAnsi="Century Gothic" w:cs="Garamond"/>
                <w:sz w:val="18"/>
                <w:szCs w:val="18"/>
              </w:rPr>
              <w:t>Ajuste de la mención al art. 19 del proyecto de ley, en virtud de su eliminación. Se menciona, en cambio el art. 281 del CGP que consagra dicha la facultad.</w:t>
            </w:r>
          </w:p>
        </w:tc>
      </w:tr>
      <w:tr w:rsidR="00CD7B09" w:rsidRPr="00CD7B09" w14:paraId="3B564BC8" w14:textId="77777777" w:rsidTr="009F0165">
        <w:tc>
          <w:tcPr>
            <w:tcW w:w="2942" w:type="dxa"/>
          </w:tcPr>
          <w:p w14:paraId="0D05D842" w14:textId="77777777" w:rsidR="00B42E60" w:rsidRPr="00CD7B09" w:rsidRDefault="00B42E60" w:rsidP="009F016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b/>
                <w:sz w:val="18"/>
                <w:szCs w:val="18"/>
              </w:rPr>
              <w:t>Artículo 121. Judicatura en despachos judiciales agrarios y rurales.</w:t>
            </w:r>
            <w:r w:rsidRPr="00CD7B09">
              <w:rPr>
                <w:rFonts w:ascii="Century Gothic" w:eastAsia="Garamond" w:hAnsi="Century Gothic" w:cs="Garamond"/>
                <w:sz w:val="18"/>
                <w:szCs w:val="18"/>
              </w:rPr>
              <w:t xml:space="preserve"> Para optar el título de abogado el estudiante podrá acreditar haber prestado servicio de judicatura en cualquier despacho judicial agrario y, por el tiempo y en las condiciones que señale para el efecto el Consejo Superior de la Judicatura. </w:t>
            </w:r>
          </w:p>
          <w:p w14:paraId="34460197" w14:textId="77777777" w:rsidR="00B42E60" w:rsidRPr="00CD7B09" w:rsidRDefault="00B42E60" w:rsidP="009F016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p>
          <w:p w14:paraId="7CB7DEBC" w14:textId="77777777" w:rsidR="00B42E60" w:rsidRPr="00CD7B09" w:rsidRDefault="00B42E60" w:rsidP="009F016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b/>
                <w:sz w:val="18"/>
                <w:szCs w:val="18"/>
              </w:rPr>
              <w:t>Parágrafo.</w:t>
            </w:r>
            <w:r w:rsidRPr="00CD7B09">
              <w:rPr>
                <w:rFonts w:ascii="Century Gothic" w:eastAsia="Garamond" w:hAnsi="Century Gothic" w:cs="Garamond"/>
                <w:sz w:val="18"/>
                <w:szCs w:val="18"/>
              </w:rPr>
              <w:t xml:space="preserve"> Con el propósito de incentivar las prácticas de judicatura en despachos judiciales agrarios y rurales, el Consejo Superior de la Judicatura estará facultado para establecer condiciones de menor tiempo de judicatura o remuneración para los judicantes que opten por dichas prácticas en zonas rurales del territorio nacional.</w:t>
            </w:r>
          </w:p>
          <w:p w14:paraId="34E8CD2E" w14:textId="77777777" w:rsidR="00B42E60" w:rsidRPr="00CD7B09" w:rsidRDefault="00B42E60" w:rsidP="009F0165">
            <w:pPr>
              <w:ind w:right="49"/>
              <w:jc w:val="center"/>
              <w:rPr>
                <w:rFonts w:ascii="Century Gothic" w:eastAsia="Garamond" w:hAnsi="Century Gothic" w:cs="Garamond"/>
                <w:b/>
                <w:sz w:val="18"/>
                <w:szCs w:val="18"/>
              </w:rPr>
            </w:pPr>
          </w:p>
        </w:tc>
        <w:tc>
          <w:tcPr>
            <w:tcW w:w="2943" w:type="dxa"/>
          </w:tcPr>
          <w:p w14:paraId="6214335A" w14:textId="77777777" w:rsidR="00B42E60" w:rsidRPr="00CD7B09" w:rsidRDefault="00B42E60" w:rsidP="009F016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b/>
                <w:sz w:val="18"/>
                <w:szCs w:val="18"/>
              </w:rPr>
              <w:t>Artículo 121. Judicatura en despachos judiciales agrarios y rurales.</w:t>
            </w:r>
            <w:r w:rsidRPr="00CD7B09">
              <w:rPr>
                <w:rFonts w:ascii="Century Gothic" w:eastAsia="Garamond" w:hAnsi="Century Gothic" w:cs="Garamond"/>
                <w:sz w:val="18"/>
                <w:szCs w:val="18"/>
              </w:rPr>
              <w:t xml:space="preserve"> Para optar el título de abogado el estudiante podrá acreditar haber prestado servicio de judicatura en cualquier despacho judicial agrario y </w:t>
            </w:r>
            <w:r w:rsidRPr="00CD7B09">
              <w:rPr>
                <w:rFonts w:ascii="Century Gothic" w:eastAsia="Garamond" w:hAnsi="Century Gothic" w:cs="Garamond"/>
                <w:b/>
                <w:sz w:val="18"/>
                <w:szCs w:val="18"/>
                <w:u w:val="single"/>
              </w:rPr>
              <w:t>rural</w:t>
            </w:r>
            <w:r w:rsidRPr="00CD7B09">
              <w:rPr>
                <w:rFonts w:ascii="Century Gothic" w:eastAsia="Garamond" w:hAnsi="Century Gothic" w:cs="Garamond"/>
                <w:sz w:val="18"/>
                <w:szCs w:val="18"/>
              </w:rPr>
              <w:t xml:space="preserve">, por el tiempo y en las condiciones que señale para el efecto el Consejo Superior de la Judicatura. </w:t>
            </w:r>
          </w:p>
          <w:p w14:paraId="3C02F523" w14:textId="77777777" w:rsidR="00B42E60" w:rsidRPr="00CD7B09" w:rsidRDefault="00B42E60" w:rsidP="009F016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p>
          <w:p w14:paraId="588319B4" w14:textId="77777777" w:rsidR="00B42E60" w:rsidRPr="00CD7B09" w:rsidRDefault="00B42E60" w:rsidP="009F016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b/>
                <w:sz w:val="18"/>
                <w:szCs w:val="18"/>
              </w:rPr>
              <w:t>Parágrafo.</w:t>
            </w:r>
            <w:r w:rsidRPr="00CD7B09">
              <w:rPr>
                <w:rFonts w:ascii="Century Gothic" w:eastAsia="Garamond" w:hAnsi="Century Gothic" w:cs="Garamond"/>
                <w:sz w:val="18"/>
                <w:szCs w:val="18"/>
              </w:rPr>
              <w:t xml:space="preserve"> Con el propósito de incentivar las prácticas de judicatura en despachos judiciales agrarios y rurales, el Consejo Superior de la Judicatura estará facultado para establecer condiciones de menor tiempo de judicatura o remuneración para los judicantes que opten por dichas prácticas en zonas rurales del territorio nacional.</w:t>
            </w:r>
          </w:p>
          <w:p w14:paraId="387DEE00" w14:textId="77777777" w:rsidR="00B42E60" w:rsidRPr="00CD7B09" w:rsidRDefault="00B42E60" w:rsidP="009F0165">
            <w:pPr>
              <w:ind w:right="49"/>
              <w:jc w:val="center"/>
              <w:rPr>
                <w:rFonts w:ascii="Century Gothic" w:eastAsia="Garamond" w:hAnsi="Century Gothic" w:cs="Garamond"/>
                <w:b/>
                <w:sz w:val="18"/>
                <w:szCs w:val="18"/>
              </w:rPr>
            </w:pPr>
          </w:p>
        </w:tc>
        <w:tc>
          <w:tcPr>
            <w:tcW w:w="2943" w:type="dxa"/>
          </w:tcPr>
          <w:p w14:paraId="52204726" w14:textId="77777777" w:rsidR="00B42E60" w:rsidRPr="00CD7B09" w:rsidRDefault="00B42E60" w:rsidP="009F0165">
            <w:pPr>
              <w:ind w:right="49"/>
              <w:jc w:val="center"/>
              <w:rPr>
                <w:rFonts w:ascii="Century Gothic" w:eastAsia="Garamond" w:hAnsi="Century Gothic" w:cs="Garamond"/>
                <w:sz w:val="18"/>
                <w:szCs w:val="18"/>
              </w:rPr>
            </w:pPr>
            <w:r w:rsidRPr="00CD7B09">
              <w:rPr>
                <w:rFonts w:ascii="Century Gothic" w:eastAsia="Garamond" w:hAnsi="Century Gothic" w:cs="Garamond"/>
                <w:sz w:val="18"/>
                <w:szCs w:val="18"/>
              </w:rPr>
              <w:t xml:space="preserve">Corrección de typo en el texto aprobado. </w:t>
            </w:r>
          </w:p>
        </w:tc>
      </w:tr>
      <w:tr w:rsidR="00CD7B09" w:rsidRPr="00CD7B09" w14:paraId="66315182" w14:textId="77777777" w:rsidTr="009F0165">
        <w:tc>
          <w:tcPr>
            <w:tcW w:w="2942" w:type="dxa"/>
          </w:tcPr>
          <w:p w14:paraId="78A5FC5D" w14:textId="77777777" w:rsidR="00B42E60" w:rsidRPr="00CD7B09" w:rsidRDefault="00B42E60" w:rsidP="009F016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18"/>
                <w:szCs w:val="18"/>
              </w:rPr>
            </w:pPr>
            <w:r w:rsidRPr="00CD7B09">
              <w:rPr>
                <w:rFonts w:ascii="Century Gothic" w:eastAsia="Garamond" w:hAnsi="Century Gothic" w:cs="Garamond"/>
                <w:b/>
                <w:sz w:val="18"/>
                <w:szCs w:val="18"/>
              </w:rPr>
              <w:t>Artículo</w:t>
            </w:r>
            <w:r w:rsidRPr="00CD7B09">
              <w:rPr>
                <w:rFonts w:ascii="Century Gothic" w:eastAsia="Garamond" w:hAnsi="Century Gothic" w:cs="Garamond"/>
                <w:sz w:val="18"/>
                <w:szCs w:val="18"/>
              </w:rPr>
              <w:t xml:space="preserve"> </w:t>
            </w:r>
            <w:r w:rsidRPr="00CD7B09">
              <w:rPr>
                <w:rFonts w:ascii="Century Gothic" w:eastAsia="Garamond" w:hAnsi="Century Gothic" w:cs="Garamond"/>
                <w:b/>
                <w:sz w:val="18"/>
                <w:szCs w:val="18"/>
              </w:rPr>
              <w:t>124.  Proceso de implementación.</w:t>
            </w:r>
          </w:p>
          <w:p w14:paraId="12CF6B48" w14:textId="77777777" w:rsidR="00B42E60" w:rsidRPr="00CD7B09" w:rsidRDefault="00B42E60" w:rsidP="009F016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sz w:val="18"/>
                <w:szCs w:val="18"/>
              </w:rPr>
              <w:t>(…)</w:t>
            </w:r>
          </w:p>
          <w:p w14:paraId="3A53676C"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sz w:val="18"/>
                <w:szCs w:val="18"/>
              </w:rPr>
              <w:t>El Consejo Superior de la Judicatura deberá implementar un programa de formación en derecho agrario y rural dirigido especialmente a los jueces civiles municipales y a los jueces promiscuos en virtud de las nuevas competencias previstas en esta ley.</w:t>
            </w:r>
          </w:p>
        </w:tc>
        <w:tc>
          <w:tcPr>
            <w:tcW w:w="2943" w:type="dxa"/>
          </w:tcPr>
          <w:p w14:paraId="2CB371E7" w14:textId="77777777" w:rsidR="00B42E60" w:rsidRPr="00CD7B09" w:rsidRDefault="00B42E60" w:rsidP="009F016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18"/>
                <w:szCs w:val="18"/>
              </w:rPr>
            </w:pPr>
            <w:r w:rsidRPr="00CD7B09">
              <w:rPr>
                <w:rFonts w:ascii="Century Gothic" w:eastAsia="Garamond" w:hAnsi="Century Gothic" w:cs="Garamond"/>
                <w:b/>
                <w:sz w:val="18"/>
                <w:szCs w:val="18"/>
              </w:rPr>
              <w:t>Artículo</w:t>
            </w:r>
            <w:r w:rsidRPr="00CD7B09">
              <w:rPr>
                <w:rFonts w:ascii="Century Gothic" w:eastAsia="Garamond" w:hAnsi="Century Gothic" w:cs="Garamond"/>
                <w:sz w:val="18"/>
                <w:szCs w:val="18"/>
              </w:rPr>
              <w:t xml:space="preserve"> </w:t>
            </w:r>
            <w:r w:rsidRPr="00CD7B09">
              <w:rPr>
                <w:rFonts w:ascii="Century Gothic" w:eastAsia="Garamond" w:hAnsi="Century Gothic" w:cs="Garamond"/>
                <w:b/>
                <w:sz w:val="18"/>
                <w:szCs w:val="18"/>
              </w:rPr>
              <w:t>124.  Proceso de implementación.</w:t>
            </w:r>
          </w:p>
          <w:p w14:paraId="7B257252" w14:textId="77777777" w:rsidR="00B42E60" w:rsidRPr="00CD7B09" w:rsidRDefault="00B42E60" w:rsidP="009F016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18"/>
                <w:szCs w:val="18"/>
              </w:rPr>
            </w:pPr>
            <w:r w:rsidRPr="00CD7B09">
              <w:rPr>
                <w:rFonts w:ascii="Century Gothic" w:eastAsia="Garamond" w:hAnsi="Century Gothic" w:cs="Garamond"/>
                <w:sz w:val="18"/>
                <w:szCs w:val="18"/>
              </w:rPr>
              <w:t>(…)</w:t>
            </w:r>
          </w:p>
          <w:p w14:paraId="669FB7F6" w14:textId="77777777" w:rsidR="00B42E60" w:rsidRPr="00CD7B09" w:rsidRDefault="00B42E60" w:rsidP="009F01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18"/>
                <w:szCs w:val="18"/>
                <w:u w:val="single"/>
              </w:rPr>
            </w:pPr>
            <w:r w:rsidRPr="00CD7B09">
              <w:rPr>
                <w:rFonts w:ascii="Century Gothic" w:eastAsia="Garamond" w:hAnsi="Century Gothic" w:cs="Garamond"/>
                <w:sz w:val="18"/>
                <w:szCs w:val="18"/>
              </w:rPr>
              <w:t xml:space="preserve">El Consejo Superior de la Judicatura deberá implementar un programa de formación en derecho agrario y rural dirigido especialmente a los </w:t>
            </w:r>
            <w:r w:rsidRPr="00CD7B09">
              <w:rPr>
                <w:rFonts w:ascii="Century Gothic" w:eastAsia="Garamond" w:hAnsi="Century Gothic" w:cs="Garamond"/>
                <w:b/>
                <w:sz w:val="18"/>
                <w:szCs w:val="18"/>
                <w:u w:val="single"/>
              </w:rPr>
              <w:t xml:space="preserve">jueces administrativos, a los </w:t>
            </w:r>
            <w:r w:rsidRPr="00CD7B09">
              <w:rPr>
                <w:rFonts w:ascii="Century Gothic" w:eastAsia="Garamond" w:hAnsi="Century Gothic" w:cs="Garamond"/>
                <w:sz w:val="18"/>
                <w:szCs w:val="18"/>
              </w:rPr>
              <w:t>jueces civiles municipales</w:t>
            </w:r>
            <w:r w:rsidRPr="00CD7B09">
              <w:rPr>
                <w:rFonts w:ascii="Century Gothic" w:eastAsia="Garamond" w:hAnsi="Century Gothic" w:cs="Garamond"/>
                <w:b/>
                <w:sz w:val="18"/>
                <w:szCs w:val="18"/>
                <w:u w:val="single"/>
              </w:rPr>
              <w:t>,</w:t>
            </w:r>
            <w:r w:rsidRPr="00CD7B09">
              <w:rPr>
                <w:rFonts w:ascii="Century Gothic" w:eastAsia="Garamond" w:hAnsi="Century Gothic" w:cs="Garamond"/>
                <w:strike/>
                <w:sz w:val="18"/>
                <w:szCs w:val="18"/>
              </w:rPr>
              <w:t xml:space="preserve"> y</w:t>
            </w:r>
            <w:r w:rsidRPr="00CD7B09">
              <w:rPr>
                <w:rFonts w:ascii="Century Gothic" w:eastAsia="Garamond" w:hAnsi="Century Gothic" w:cs="Garamond"/>
                <w:sz w:val="18"/>
                <w:szCs w:val="18"/>
              </w:rPr>
              <w:t xml:space="preserve"> a los jueces promiscuos </w:t>
            </w:r>
            <w:r w:rsidRPr="00CD7B09">
              <w:rPr>
                <w:rFonts w:ascii="Century Gothic" w:eastAsia="Garamond" w:hAnsi="Century Gothic" w:cs="Garamond"/>
                <w:b/>
                <w:sz w:val="18"/>
                <w:szCs w:val="18"/>
                <w:u w:val="single"/>
              </w:rPr>
              <w:t>y a los Magistrados correspondientes de ambas jurisdicciones,</w:t>
            </w:r>
            <w:r w:rsidRPr="00CD7B09">
              <w:rPr>
                <w:rFonts w:ascii="Century Gothic" w:eastAsia="Garamond" w:hAnsi="Century Gothic" w:cs="Garamond"/>
                <w:sz w:val="18"/>
                <w:szCs w:val="18"/>
              </w:rPr>
              <w:t xml:space="preserve"> en virtud de las nuevas competencias previstas en esta ley. </w:t>
            </w:r>
            <w:r w:rsidRPr="00CD7B09">
              <w:rPr>
                <w:rFonts w:ascii="Century Gothic" w:eastAsia="Garamond" w:hAnsi="Century Gothic" w:cs="Garamond"/>
                <w:b/>
                <w:sz w:val="18"/>
                <w:szCs w:val="18"/>
                <w:u w:val="single"/>
              </w:rPr>
              <w:t>Para el efecto, a través de la Escuela Judicial Rodrigo Lara Bonilla, deberá diseñar e implementar un curso de capacitación en la normatividad agraria y ambiental, y en el procedimiento judicial agrario y rural regulado en esta ley. Su diseño deberá efectuarse dentro de los seis (6) meses siguientes a la expedición de esta Ley.</w:t>
            </w:r>
          </w:p>
        </w:tc>
        <w:tc>
          <w:tcPr>
            <w:tcW w:w="2943" w:type="dxa"/>
          </w:tcPr>
          <w:p w14:paraId="18614218" w14:textId="77777777" w:rsidR="00B42E60" w:rsidRPr="00CD7B09" w:rsidRDefault="00B42E60" w:rsidP="009F0165">
            <w:pPr>
              <w:ind w:right="49"/>
              <w:jc w:val="center"/>
              <w:rPr>
                <w:rFonts w:ascii="Century Gothic" w:eastAsia="Garamond" w:hAnsi="Century Gothic" w:cs="Garamond"/>
                <w:sz w:val="18"/>
                <w:szCs w:val="18"/>
              </w:rPr>
            </w:pPr>
            <w:r w:rsidRPr="00CD7B09">
              <w:rPr>
                <w:rFonts w:ascii="Century Gothic" w:eastAsia="Garamond" w:hAnsi="Century Gothic" w:cs="Garamond"/>
                <w:sz w:val="18"/>
                <w:szCs w:val="18"/>
              </w:rPr>
              <w:t>Se modifica el inciso final del artículo para fortalecer la experiencia y formación de los jueces que conocerán de los procesos.</w:t>
            </w:r>
          </w:p>
        </w:tc>
      </w:tr>
    </w:tbl>
    <w:p w14:paraId="3C521983" w14:textId="77777777" w:rsidR="00A6080F" w:rsidRPr="00CD7B09" w:rsidRDefault="00A6080F"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hAnsi="Century Gothic"/>
          <w:sz w:val="22"/>
          <w:szCs w:val="22"/>
        </w:rPr>
      </w:pPr>
    </w:p>
    <w:p w14:paraId="34A98258" w14:textId="77777777" w:rsidR="00A6080F" w:rsidRPr="00CD7B09" w:rsidRDefault="00A6080F"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hAnsi="Century Gothic"/>
          <w:sz w:val="22"/>
          <w:szCs w:val="22"/>
        </w:rPr>
      </w:pPr>
    </w:p>
    <w:p w14:paraId="65FA35F2" w14:textId="77777777" w:rsidR="00A6080F" w:rsidRPr="00CD7B09" w:rsidRDefault="00A6080F"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hAnsi="Century Gothic"/>
          <w:sz w:val="22"/>
          <w:szCs w:val="22"/>
        </w:rPr>
      </w:pPr>
    </w:p>
    <w:p w14:paraId="3CBE0906" w14:textId="77777777" w:rsidR="00A6736C" w:rsidRPr="00CD7B09" w:rsidRDefault="00A6736C" w:rsidP="00E85348">
      <w:pPr>
        <w:pStyle w:val="Norm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Century Gothic" w:hAnsi="Century Gothic"/>
          <w:b/>
          <w:sz w:val="22"/>
          <w:szCs w:val="22"/>
        </w:rPr>
      </w:pPr>
      <w:r w:rsidRPr="00CD7B09">
        <w:rPr>
          <w:rFonts w:ascii="Century Gothic" w:hAnsi="Century Gothic"/>
          <w:b/>
          <w:sz w:val="22"/>
          <w:szCs w:val="22"/>
        </w:rPr>
        <w:t>RELACI</w:t>
      </w:r>
      <w:r w:rsidRPr="00CD7B09">
        <w:rPr>
          <w:rFonts w:ascii="Century Gothic" w:eastAsia="Helvetica" w:hAnsi="Century Gothic" w:cs="Helvetica"/>
          <w:b/>
          <w:sz w:val="22"/>
          <w:szCs w:val="22"/>
        </w:rPr>
        <w:t>ÓN DE POSIBLES CONFLICTOS DE INTERÉS</w:t>
      </w:r>
    </w:p>
    <w:p w14:paraId="616CF38F" w14:textId="77777777" w:rsidR="00A6736C" w:rsidRPr="00CD7B09" w:rsidRDefault="00A6736C"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hAnsi="Century Gothic"/>
          <w:b/>
          <w:sz w:val="22"/>
          <w:szCs w:val="22"/>
        </w:rPr>
      </w:pPr>
    </w:p>
    <w:p w14:paraId="2BC8A09F" w14:textId="77777777" w:rsidR="00A6736C" w:rsidRPr="00CD7B09" w:rsidRDefault="00A6736C"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Century Gothic" w:hAnsi="Century Gothic"/>
          <w:sz w:val="22"/>
          <w:szCs w:val="22"/>
        </w:rPr>
      </w:pPr>
      <w:r w:rsidRPr="00CD7B09">
        <w:rPr>
          <w:rFonts w:ascii="Century Gothic" w:hAnsi="Century Gothic"/>
          <w:sz w:val="22"/>
          <w:szCs w:val="22"/>
        </w:rPr>
        <w:t>Teniendo en cuenta lo establecido en el art</w:t>
      </w:r>
      <w:r w:rsidRPr="00CD7B09">
        <w:rPr>
          <w:rFonts w:ascii="Century Gothic" w:eastAsia="Helvetica" w:hAnsi="Century Gothic" w:cs="Helvetica"/>
          <w:sz w:val="22"/>
          <w:szCs w:val="22"/>
        </w:rPr>
        <w:t>í</w:t>
      </w:r>
      <w:r w:rsidRPr="00CD7B09">
        <w:rPr>
          <w:rFonts w:ascii="Century Gothic" w:hAnsi="Century Gothic"/>
          <w:sz w:val="22"/>
          <w:szCs w:val="22"/>
        </w:rPr>
        <w:t>culo 3 de la Ley 2003 del 19 de noviembre de 2019, por la cual se modifica parcialmente la Ley 5 de 1992 y se dictan otras disposiciones, que modifica el art</w:t>
      </w:r>
      <w:r w:rsidRPr="00CD7B09">
        <w:rPr>
          <w:rFonts w:ascii="Century Gothic" w:eastAsia="Helvetica" w:hAnsi="Century Gothic" w:cs="Helvetica"/>
          <w:sz w:val="22"/>
          <w:szCs w:val="22"/>
        </w:rPr>
        <w:t>ículo 291 de la Ley 5 de 1992, en la que se estableció que el autor del proyecto y el ponente prese</w:t>
      </w:r>
      <w:r w:rsidRPr="00CD7B09">
        <w:rPr>
          <w:rFonts w:ascii="Century Gothic" w:hAnsi="Century Gothic"/>
          <w:sz w:val="22"/>
          <w:szCs w:val="22"/>
        </w:rPr>
        <w:t>ntar</w:t>
      </w:r>
      <w:r w:rsidRPr="00CD7B09">
        <w:rPr>
          <w:rFonts w:ascii="Century Gothic" w:eastAsia="Helvetica" w:hAnsi="Century Gothic" w:cs="Helvetica"/>
          <w:sz w:val="22"/>
          <w:szCs w:val="22"/>
        </w:rPr>
        <w:t>án en la exposición de motivos un acápite que describa las circunstancias o eventos que podrán generar un conflicto de interés para la discusión y votación del proyecto, se considera que el presente proyecto de ley no genera conflictos de interés en at</w:t>
      </w:r>
      <w:r w:rsidRPr="00CD7B09">
        <w:rPr>
          <w:rFonts w:ascii="Century Gothic" w:hAnsi="Century Gothic"/>
          <w:sz w:val="22"/>
          <w:szCs w:val="22"/>
        </w:rPr>
        <w:t>enci</w:t>
      </w:r>
      <w:r w:rsidRPr="00CD7B09">
        <w:rPr>
          <w:rFonts w:ascii="Century Gothic" w:eastAsia="Helvetica" w:hAnsi="Century Gothic" w:cs="Helvetica"/>
          <w:sz w:val="22"/>
          <w:szCs w:val="22"/>
        </w:rPr>
        <w:t>ón a que se trata de un proyecto que no genera un beneficio particular, actual y directo a los congresistas, de conformidad con lo establecido en el artículo 1 de la Ley 2003 de 19 de noviembre de 2019; sino que, por el contrario, se trata de una modif</w:t>
      </w:r>
      <w:r w:rsidRPr="00CD7B09">
        <w:rPr>
          <w:rFonts w:ascii="Century Gothic" w:hAnsi="Century Gothic"/>
          <w:sz w:val="22"/>
          <w:szCs w:val="22"/>
        </w:rPr>
        <w:t>icaci</w:t>
      </w:r>
      <w:r w:rsidRPr="00CD7B09">
        <w:rPr>
          <w:rFonts w:ascii="Century Gothic" w:eastAsia="Helvetica" w:hAnsi="Century Gothic" w:cs="Helvetica"/>
          <w:sz w:val="22"/>
          <w:szCs w:val="22"/>
        </w:rPr>
        <w:t>ón de una norma de procedimiento general, por tanto, el beneficio no puede ser particular.</w:t>
      </w:r>
    </w:p>
    <w:p w14:paraId="4AC6CE46" w14:textId="77777777" w:rsidR="00A6736C" w:rsidRPr="00CD7B09" w:rsidRDefault="00A6736C"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Century Gothic" w:hAnsi="Century Gothic"/>
          <w:sz w:val="22"/>
          <w:szCs w:val="22"/>
        </w:rPr>
      </w:pPr>
    </w:p>
    <w:p w14:paraId="47E43D74" w14:textId="7E45AAB7" w:rsidR="00A6736C" w:rsidRPr="00CD7B09" w:rsidRDefault="00A6736C"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Century Gothic" w:eastAsia="Helvetica" w:hAnsi="Century Gothic" w:cs="Helvetica"/>
          <w:i/>
          <w:sz w:val="22"/>
          <w:szCs w:val="22"/>
        </w:rPr>
      </w:pPr>
      <w:r w:rsidRPr="00CD7B09">
        <w:rPr>
          <w:rFonts w:ascii="Century Gothic" w:hAnsi="Century Gothic"/>
          <w:sz w:val="22"/>
          <w:szCs w:val="22"/>
        </w:rPr>
        <w:t>Sobre este asunto ha se</w:t>
      </w:r>
      <w:r w:rsidRPr="00CD7B09">
        <w:rPr>
          <w:rFonts w:ascii="Century Gothic" w:eastAsia="Helvetica" w:hAnsi="Century Gothic" w:cs="Helvetica"/>
          <w:sz w:val="22"/>
          <w:szCs w:val="22"/>
        </w:rPr>
        <w:t xml:space="preserve">ñalado el Consejo de Estado </w:t>
      </w:r>
      <w:r w:rsidRPr="00CD7B09">
        <w:rPr>
          <w:rFonts w:ascii="Century Gothic" w:eastAsia="Helvetica" w:hAnsi="Century Gothic" w:cs="Helvetica"/>
          <w:i/>
          <w:sz w:val="22"/>
          <w:szCs w:val="22"/>
        </w:rPr>
        <w:t xml:space="preserve">“No cualquier interés configura la causal de desinvestidura en comento, pues se sabe que sólo lo será aquél </w:t>
      </w:r>
      <w:r w:rsidRPr="00CD7B09">
        <w:rPr>
          <w:rFonts w:ascii="Century Gothic" w:hAnsi="Century Gothic"/>
          <w:i/>
          <w:sz w:val="22"/>
          <w:szCs w:val="22"/>
        </w:rPr>
        <w:t>del que se pueda predicar que es directo, esto es, que per se el alegado beneficio, provecho o utilidad encuentre su fuente en el asunto que fue conocido por el legislador; particular, que el mismo sea espec</w:t>
      </w:r>
      <w:r w:rsidRPr="00CD7B09">
        <w:rPr>
          <w:rFonts w:ascii="Century Gothic" w:eastAsia="Helvetica" w:hAnsi="Century Gothic" w:cs="Helvetica"/>
          <w:i/>
          <w:sz w:val="22"/>
          <w:szCs w:val="22"/>
        </w:rPr>
        <w:t>ífico o personal, bien para el congresista o quie</w:t>
      </w:r>
      <w:r w:rsidRPr="00CD7B09">
        <w:rPr>
          <w:rFonts w:ascii="Century Gothic" w:hAnsi="Century Gothic"/>
          <w:i/>
          <w:sz w:val="22"/>
          <w:szCs w:val="22"/>
        </w:rPr>
        <w:t xml:space="preserve">nes se encuentren relacionados con </w:t>
      </w:r>
      <w:r w:rsidRPr="00CD7B09">
        <w:rPr>
          <w:rFonts w:ascii="Century Gothic" w:eastAsia="Helvetica" w:hAnsi="Century Gothic" w:cs="Helvetica"/>
          <w:i/>
          <w:sz w:val="22"/>
          <w:szCs w:val="22"/>
        </w:rPr>
        <w:t>él; y actual o inmediato, que concurra para el momento en que ocurrió la participación o votación del congresista, lo que excluye sucesos contingentes, futuros o imprevisibles. También se tiene noticia que el interés pued</w:t>
      </w:r>
      <w:r w:rsidRPr="00CD7B09">
        <w:rPr>
          <w:rFonts w:ascii="Century Gothic" w:hAnsi="Century Gothic"/>
          <w:i/>
          <w:sz w:val="22"/>
          <w:szCs w:val="22"/>
        </w:rPr>
        <w:t>e ser de cualquier naturaleza, esto es, econ</w:t>
      </w:r>
      <w:r w:rsidRPr="00CD7B09">
        <w:rPr>
          <w:rFonts w:ascii="Century Gothic" w:eastAsia="Helvetica" w:hAnsi="Century Gothic" w:cs="Helvetica"/>
          <w:i/>
          <w:sz w:val="22"/>
          <w:szCs w:val="22"/>
        </w:rPr>
        <w:t>ómico o moral, sin distinción alguna”</w:t>
      </w:r>
      <w:r w:rsidRPr="00CD7B09">
        <w:rPr>
          <w:rFonts w:ascii="Century Gothic" w:hAnsi="Century Gothic"/>
          <w:i/>
          <w:sz w:val="22"/>
          <w:szCs w:val="22"/>
          <w:vertAlign w:val="superscript"/>
        </w:rPr>
        <w:footnoteReference w:id="6"/>
      </w:r>
      <w:r w:rsidR="00CB1679" w:rsidRPr="00CD7B09">
        <w:rPr>
          <w:rFonts w:ascii="Century Gothic" w:eastAsia="Helvetica" w:hAnsi="Century Gothic" w:cs="Helvetica"/>
          <w:i/>
          <w:sz w:val="22"/>
          <w:szCs w:val="22"/>
        </w:rPr>
        <w:t>.</w:t>
      </w:r>
    </w:p>
    <w:p w14:paraId="51B318A7" w14:textId="77777777" w:rsidR="00CB1679" w:rsidRPr="00CD7B09" w:rsidRDefault="00CB1679"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Century Gothic" w:hAnsi="Century Gothic"/>
          <w:i/>
          <w:sz w:val="22"/>
          <w:szCs w:val="22"/>
        </w:rPr>
      </w:pPr>
    </w:p>
    <w:p w14:paraId="1A1665CE" w14:textId="77777777" w:rsidR="00A6736C" w:rsidRPr="00CD7B09" w:rsidRDefault="00A6736C"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720"/>
        <w:jc w:val="both"/>
        <w:rPr>
          <w:rFonts w:ascii="Century Gothic" w:hAnsi="Century Gothic"/>
          <w:sz w:val="22"/>
          <w:szCs w:val="22"/>
        </w:rPr>
      </w:pPr>
    </w:p>
    <w:p w14:paraId="684C616E" w14:textId="77777777" w:rsidR="00A6736C" w:rsidRPr="00CD7B09" w:rsidRDefault="00A6736C" w:rsidP="00E85348">
      <w:pPr>
        <w:pStyle w:val="Norm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Century Gothic" w:hAnsi="Century Gothic"/>
          <w:sz w:val="22"/>
          <w:szCs w:val="22"/>
        </w:rPr>
      </w:pPr>
      <w:r w:rsidRPr="00CD7B09">
        <w:rPr>
          <w:rFonts w:ascii="Century Gothic" w:hAnsi="Century Gothic"/>
          <w:b/>
          <w:sz w:val="22"/>
          <w:szCs w:val="22"/>
        </w:rPr>
        <w:t>PROPOSICI</w:t>
      </w:r>
      <w:r w:rsidRPr="00CD7B09">
        <w:rPr>
          <w:rFonts w:ascii="Century Gothic" w:eastAsia="Helvetica" w:hAnsi="Century Gothic" w:cs="Helvetica"/>
          <w:b/>
          <w:sz w:val="22"/>
          <w:szCs w:val="22"/>
        </w:rPr>
        <w:t>ÓN</w:t>
      </w:r>
    </w:p>
    <w:p w14:paraId="5542B1BF" w14:textId="77777777" w:rsidR="00A6736C" w:rsidRPr="00CD7B09" w:rsidRDefault="00A6736C"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Century Gothic" w:hAnsi="Century Gothic"/>
          <w:b/>
          <w:sz w:val="22"/>
          <w:szCs w:val="22"/>
        </w:rPr>
      </w:pPr>
    </w:p>
    <w:p w14:paraId="7AA9BEBB" w14:textId="4AF465CC" w:rsidR="00A6736C" w:rsidRPr="00CD7B09" w:rsidRDefault="00A6736C"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Century Gothic" w:hAnsi="Century Gothic"/>
          <w:sz w:val="22"/>
          <w:szCs w:val="22"/>
        </w:rPr>
      </w:pPr>
      <w:r w:rsidRPr="00CD7B09">
        <w:rPr>
          <w:rFonts w:ascii="Century Gothic" w:hAnsi="Century Gothic"/>
          <w:sz w:val="22"/>
          <w:szCs w:val="22"/>
        </w:rPr>
        <w:t xml:space="preserve">Con fundamento en las anteriores consideraciones, </w:t>
      </w:r>
      <w:r w:rsidR="00544E6E" w:rsidRPr="00CD7B09">
        <w:rPr>
          <w:rFonts w:ascii="Century Gothic" w:hAnsi="Century Gothic"/>
          <w:sz w:val="22"/>
          <w:szCs w:val="22"/>
        </w:rPr>
        <w:t>solicitamos a la Honorab</w:t>
      </w:r>
      <w:r w:rsidR="00A6080F" w:rsidRPr="00CD7B09">
        <w:rPr>
          <w:rFonts w:ascii="Century Gothic" w:hAnsi="Century Gothic"/>
          <w:sz w:val="22"/>
          <w:szCs w:val="22"/>
        </w:rPr>
        <w:t>l</w:t>
      </w:r>
      <w:r w:rsidR="00544E6E" w:rsidRPr="00CD7B09">
        <w:rPr>
          <w:rFonts w:ascii="Century Gothic" w:hAnsi="Century Gothic"/>
          <w:sz w:val="22"/>
          <w:szCs w:val="22"/>
        </w:rPr>
        <w:t xml:space="preserve">e Plenaria de la </w:t>
      </w:r>
      <w:r w:rsidRPr="00CD7B09">
        <w:rPr>
          <w:rFonts w:ascii="Century Gothic" w:hAnsi="Century Gothic"/>
          <w:sz w:val="22"/>
          <w:szCs w:val="22"/>
        </w:rPr>
        <w:t>C</w:t>
      </w:r>
      <w:r w:rsidRPr="00CD7B09">
        <w:rPr>
          <w:rFonts w:ascii="Century Gothic" w:eastAsia="Helvetica" w:hAnsi="Century Gothic" w:cs="Helvetica"/>
          <w:sz w:val="22"/>
          <w:szCs w:val="22"/>
        </w:rPr>
        <w:t>á</w:t>
      </w:r>
      <w:r w:rsidRPr="00CD7B09">
        <w:rPr>
          <w:rFonts w:ascii="Century Gothic" w:hAnsi="Century Gothic"/>
          <w:sz w:val="22"/>
          <w:szCs w:val="22"/>
        </w:rPr>
        <w:t xml:space="preserve">mara de Representantes dar </w:t>
      </w:r>
      <w:r w:rsidR="00544E6E" w:rsidRPr="00CD7B09">
        <w:rPr>
          <w:rFonts w:ascii="Century Gothic" w:hAnsi="Century Gothic"/>
          <w:sz w:val="22"/>
          <w:szCs w:val="22"/>
        </w:rPr>
        <w:t>segundo</w:t>
      </w:r>
      <w:r w:rsidRPr="00CD7B09">
        <w:rPr>
          <w:rFonts w:ascii="Century Gothic" w:hAnsi="Century Gothic"/>
          <w:sz w:val="22"/>
          <w:szCs w:val="22"/>
        </w:rPr>
        <w:t xml:space="preserve"> debate al </w:t>
      </w:r>
      <w:r w:rsidR="00587516" w:rsidRPr="00CD7B09">
        <w:rPr>
          <w:rFonts w:ascii="Century Gothic" w:hAnsi="Century Gothic"/>
          <w:sz w:val="22"/>
          <w:szCs w:val="22"/>
        </w:rPr>
        <w:t>Proyecto de Ley Estatutaria 143 de 2021 C</w:t>
      </w:r>
      <w:r w:rsidR="00587516" w:rsidRPr="00CD7B09">
        <w:rPr>
          <w:rFonts w:ascii="Century Gothic" w:eastAsia="Helvetica" w:hAnsi="Century Gothic" w:cs="Helvetica"/>
          <w:sz w:val="22"/>
          <w:szCs w:val="22"/>
        </w:rPr>
        <w:t>á</w:t>
      </w:r>
      <w:r w:rsidR="00587516" w:rsidRPr="00CD7B09">
        <w:rPr>
          <w:rFonts w:ascii="Century Gothic" w:hAnsi="Century Gothic"/>
          <w:sz w:val="22"/>
          <w:szCs w:val="22"/>
        </w:rPr>
        <w:t xml:space="preserve">mara, </w:t>
      </w:r>
      <w:r w:rsidR="00587516" w:rsidRPr="00CD7B09">
        <w:rPr>
          <w:rFonts w:ascii="Century Gothic" w:eastAsia="Helvetica" w:hAnsi="Century Gothic" w:cs="Helvetica"/>
          <w:sz w:val="22"/>
          <w:szCs w:val="22"/>
        </w:rPr>
        <w:t xml:space="preserve">“Por la cual se crea una especialidad judicial agraria y rural, se establecen los mecanismos para la resolución de controversias y litigios agrarios y rurales y se dictan otras disposiciones”, de conformidad con el </w:t>
      </w:r>
      <w:r w:rsidR="00544E6E" w:rsidRPr="00CD7B09">
        <w:rPr>
          <w:rFonts w:ascii="Century Gothic" w:eastAsia="Helvetica" w:hAnsi="Century Gothic" w:cs="Helvetica"/>
          <w:sz w:val="22"/>
          <w:szCs w:val="22"/>
        </w:rPr>
        <w:t>pliego de modificaciones presentado en esta ponencia</w:t>
      </w:r>
      <w:r w:rsidR="00587516" w:rsidRPr="00CD7B09">
        <w:rPr>
          <w:rFonts w:ascii="Century Gothic" w:eastAsia="Helvetica" w:hAnsi="Century Gothic" w:cs="Helvetica"/>
          <w:sz w:val="22"/>
          <w:szCs w:val="22"/>
        </w:rPr>
        <w:t xml:space="preserve">. </w:t>
      </w:r>
    </w:p>
    <w:p w14:paraId="5D06FDAC" w14:textId="77777777" w:rsidR="00587516" w:rsidRPr="00CD7B09" w:rsidRDefault="00587516"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Century Gothic" w:hAnsi="Century Gothic"/>
          <w:sz w:val="22"/>
          <w:szCs w:val="22"/>
        </w:rPr>
      </w:pPr>
    </w:p>
    <w:p w14:paraId="703EA57E" w14:textId="77777777" w:rsidR="00587516" w:rsidRPr="00CD7B09" w:rsidRDefault="00587516"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Century Gothic" w:hAnsi="Century Gothic"/>
          <w:sz w:val="22"/>
          <w:szCs w:val="22"/>
        </w:rPr>
      </w:pPr>
    </w:p>
    <w:p w14:paraId="5EC5A757" w14:textId="77777777" w:rsidR="00CB1679" w:rsidRPr="00CD7B09" w:rsidRDefault="00CB1679"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Century Gothic" w:hAnsi="Century Gothic"/>
          <w:sz w:val="22"/>
          <w:szCs w:val="22"/>
        </w:rPr>
      </w:pPr>
    </w:p>
    <w:p w14:paraId="2E5FD633" w14:textId="77777777" w:rsidR="00A6736C" w:rsidRPr="00CD7B09" w:rsidRDefault="00A6736C"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Century Gothic" w:hAnsi="Century Gothic"/>
          <w:sz w:val="22"/>
          <w:szCs w:val="22"/>
        </w:rPr>
      </w:pPr>
      <w:r w:rsidRPr="00CD7B09">
        <w:rPr>
          <w:rFonts w:ascii="Century Gothic" w:hAnsi="Century Gothic"/>
          <w:sz w:val="22"/>
          <w:szCs w:val="22"/>
        </w:rPr>
        <w:t>Cordialmente,</w:t>
      </w:r>
    </w:p>
    <w:p w14:paraId="2DA92D15" w14:textId="77777777" w:rsidR="00A6736C" w:rsidRPr="00CD7B09" w:rsidRDefault="00A6736C"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Century Gothic" w:hAnsi="Century Gothic"/>
          <w:b/>
          <w:sz w:val="22"/>
          <w:szCs w:val="22"/>
        </w:rPr>
      </w:pPr>
    </w:p>
    <w:p w14:paraId="353EEFD7" w14:textId="77777777" w:rsidR="00E85348" w:rsidRPr="00CD7B09" w:rsidRDefault="00E85348" w:rsidP="00E85348">
      <w:pPr>
        <w:rPr>
          <w:rFonts w:ascii="Century Gothic" w:hAnsi="Century Gothic"/>
          <w:b/>
          <w:sz w:val="22"/>
          <w:szCs w:val="22"/>
        </w:rPr>
      </w:pPr>
    </w:p>
    <w:p w14:paraId="57BC163B" w14:textId="77777777" w:rsidR="00544E6E" w:rsidRPr="00CD7B09" w:rsidRDefault="00544E6E" w:rsidP="00E85348">
      <w:pPr>
        <w:rPr>
          <w:rFonts w:ascii="Century Gothic" w:hAnsi="Century Gothic"/>
          <w:b/>
          <w:sz w:val="22"/>
          <w:szCs w:val="22"/>
        </w:rPr>
      </w:pPr>
    </w:p>
    <w:tbl>
      <w:tblPr>
        <w:tblStyle w:val="Tablaconcuadrcula"/>
        <w:tblW w:w="0" w:type="auto"/>
        <w:tblLook w:val="04A0" w:firstRow="1" w:lastRow="0" w:firstColumn="1" w:lastColumn="0" w:noHBand="0" w:noVBand="1"/>
      </w:tblPr>
      <w:tblGrid>
        <w:gridCol w:w="4414"/>
        <w:gridCol w:w="4414"/>
      </w:tblGrid>
      <w:tr w:rsidR="00CD7B09" w:rsidRPr="00CD7B09" w14:paraId="1839FB03" w14:textId="77777777" w:rsidTr="009F0165">
        <w:tc>
          <w:tcPr>
            <w:tcW w:w="44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DD7AE9" w14:textId="77777777" w:rsidR="00544E6E" w:rsidRPr="00CD7B09" w:rsidRDefault="00544E6E" w:rsidP="009F0165">
            <w:pPr>
              <w:rPr>
                <w:rFonts w:ascii="Century Gothic" w:hAnsi="Century Gothic"/>
                <w:b/>
                <w:sz w:val="22"/>
                <w:szCs w:val="22"/>
              </w:rPr>
            </w:pPr>
            <w:r w:rsidRPr="00CD7B09">
              <w:rPr>
                <w:rFonts w:ascii="Century Gothic" w:hAnsi="Century Gothic"/>
                <w:b/>
                <w:sz w:val="22"/>
                <w:szCs w:val="22"/>
              </w:rPr>
              <w:t>Juanita Goebertus Estrada</w:t>
            </w:r>
          </w:p>
          <w:p w14:paraId="39C1161C" w14:textId="77777777" w:rsidR="00544E6E" w:rsidRPr="00CD7B09" w:rsidRDefault="00544E6E" w:rsidP="009F0165">
            <w:pPr>
              <w:rPr>
                <w:rFonts w:ascii="Century Gothic" w:hAnsi="Century Gothic"/>
                <w:sz w:val="22"/>
                <w:szCs w:val="22"/>
              </w:rPr>
            </w:pPr>
            <w:r w:rsidRPr="00CD7B09">
              <w:rPr>
                <w:rFonts w:ascii="Century Gothic" w:hAnsi="Century Gothic"/>
                <w:sz w:val="22"/>
                <w:szCs w:val="22"/>
              </w:rPr>
              <w:t xml:space="preserve">Representante a la Cámara por Bogotá </w:t>
            </w:r>
          </w:p>
        </w:tc>
        <w:tc>
          <w:tcPr>
            <w:tcW w:w="44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7A055E" w14:textId="77777777" w:rsidR="00544E6E" w:rsidRPr="00CD7B09" w:rsidRDefault="00544E6E" w:rsidP="009F0165">
            <w:pPr>
              <w:rPr>
                <w:rFonts w:ascii="Century Gothic" w:hAnsi="Century Gothic"/>
                <w:b/>
                <w:sz w:val="22"/>
                <w:szCs w:val="22"/>
              </w:rPr>
            </w:pPr>
            <w:r w:rsidRPr="00CD7B09">
              <w:rPr>
                <w:rFonts w:ascii="Century Gothic" w:hAnsi="Century Gothic"/>
                <w:b/>
                <w:sz w:val="22"/>
                <w:szCs w:val="22"/>
              </w:rPr>
              <w:t>Adriana Magali Matiz Vargas</w:t>
            </w:r>
          </w:p>
          <w:p w14:paraId="472CAEC8" w14:textId="77777777" w:rsidR="00544E6E" w:rsidRPr="00CD7B09" w:rsidRDefault="00544E6E" w:rsidP="009F0165">
            <w:pPr>
              <w:rPr>
                <w:rFonts w:ascii="Century Gothic" w:hAnsi="Century Gothic"/>
                <w:sz w:val="22"/>
                <w:szCs w:val="22"/>
              </w:rPr>
            </w:pPr>
            <w:r w:rsidRPr="00CD7B09">
              <w:rPr>
                <w:rFonts w:ascii="Century Gothic" w:hAnsi="Century Gothic"/>
                <w:sz w:val="22"/>
                <w:szCs w:val="22"/>
              </w:rPr>
              <w:t>Representante a la Cámara por Tolima</w:t>
            </w:r>
          </w:p>
        </w:tc>
      </w:tr>
      <w:tr w:rsidR="00CD7B09" w:rsidRPr="00CD7B09" w14:paraId="647B5D99" w14:textId="77777777" w:rsidTr="009F0165">
        <w:tc>
          <w:tcPr>
            <w:tcW w:w="44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5F5917" w14:textId="77777777" w:rsidR="00544E6E" w:rsidRPr="00CD7B09" w:rsidRDefault="00544E6E" w:rsidP="009F0165">
            <w:pPr>
              <w:rPr>
                <w:rFonts w:ascii="Century Gothic" w:hAnsi="Century Gothic"/>
                <w:sz w:val="22"/>
                <w:szCs w:val="22"/>
              </w:rPr>
            </w:pPr>
          </w:p>
          <w:p w14:paraId="7BE98744" w14:textId="77777777" w:rsidR="00544E6E" w:rsidRPr="00CD7B09" w:rsidRDefault="00544E6E" w:rsidP="009F0165">
            <w:pPr>
              <w:rPr>
                <w:rFonts w:ascii="Century Gothic" w:hAnsi="Century Gothic"/>
                <w:sz w:val="22"/>
                <w:szCs w:val="22"/>
              </w:rPr>
            </w:pPr>
          </w:p>
          <w:p w14:paraId="48F73995" w14:textId="77777777" w:rsidR="00544E6E" w:rsidRPr="00CD7B09" w:rsidRDefault="00544E6E" w:rsidP="009F0165">
            <w:pPr>
              <w:rPr>
                <w:rFonts w:ascii="Century Gothic" w:hAnsi="Century Gothic"/>
                <w:sz w:val="22"/>
                <w:szCs w:val="22"/>
              </w:rPr>
            </w:pPr>
          </w:p>
          <w:p w14:paraId="4F68E8F6" w14:textId="77777777" w:rsidR="00544E6E" w:rsidRPr="00CD7B09" w:rsidRDefault="00544E6E" w:rsidP="009F0165">
            <w:pPr>
              <w:rPr>
                <w:rFonts w:ascii="Century Gothic" w:hAnsi="Century Gothic"/>
                <w:b/>
                <w:sz w:val="22"/>
                <w:szCs w:val="22"/>
              </w:rPr>
            </w:pPr>
            <w:r w:rsidRPr="00CD7B09">
              <w:rPr>
                <w:rFonts w:ascii="Century Gothic" w:hAnsi="Century Gothic"/>
                <w:b/>
                <w:sz w:val="22"/>
                <w:szCs w:val="22"/>
              </w:rPr>
              <w:t>Cesar Augusto Lorduy Maldonado</w:t>
            </w:r>
          </w:p>
          <w:p w14:paraId="06BE0B6C" w14:textId="77777777" w:rsidR="00544E6E" w:rsidRPr="00CD7B09" w:rsidRDefault="00544E6E" w:rsidP="009F0165">
            <w:pPr>
              <w:rPr>
                <w:rFonts w:ascii="Century Gothic" w:hAnsi="Century Gothic"/>
                <w:sz w:val="22"/>
                <w:szCs w:val="22"/>
              </w:rPr>
            </w:pPr>
            <w:r w:rsidRPr="00CD7B09">
              <w:rPr>
                <w:rFonts w:ascii="Century Gothic" w:hAnsi="Century Gothic"/>
                <w:sz w:val="22"/>
                <w:szCs w:val="22"/>
              </w:rPr>
              <w:t>Representante a la Cámara por Atlántico</w:t>
            </w:r>
          </w:p>
        </w:tc>
        <w:tc>
          <w:tcPr>
            <w:tcW w:w="44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C8F0D9" w14:textId="77777777" w:rsidR="00544E6E" w:rsidRPr="00CD7B09" w:rsidRDefault="00544E6E" w:rsidP="009F0165">
            <w:pPr>
              <w:rPr>
                <w:rFonts w:ascii="Century Gothic" w:hAnsi="Century Gothic"/>
                <w:sz w:val="22"/>
                <w:szCs w:val="22"/>
              </w:rPr>
            </w:pPr>
          </w:p>
          <w:p w14:paraId="0ECC7AAB" w14:textId="77777777" w:rsidR="00544E6E" w:rsidRPr="00CD7B09" w:rsidRDefault="00544E6E" w:rsidP="009F0165">
            <w:pPr>
              <w:rPr>
                <w:rFonts w:ascii="Century Gothic" w:hAnsi="Century Gothic"/>
                <w:sz w:val="22"/>
                <w:szCs w:val="22"/>
              </w:rPr>
            </w:pPr>
          </w:p>
          <w:p w14:paraId="558AB0AF" w14:textId="77777777" w:rsidR="00544E6E" w:rsidRPr="00CD7B09" w:rsidRDefault="00544E6E" w:rsidP="009F0165">
            <w:pPr>
              <w:rPr>
                <w:rFonts w:ascii="Century Gothic" w:hAnsi="Century Gothic"/>
                <w:sz w:val="22"/>
                <w:szCs w:val="22"/>
              </w:rPr>
            </w:pPr>
          </w:p>
          <w:p w14:paraId="44A91D1D" w14:textId="77777777" w:rsidR="00544E6E" w:rsidRPr="00CD7B09" w:rsidRDefault="00544E6E" w:rsidP="009F0165">
            <w:pPr>
              <w:rPr>
                <w:rFonts w:ascii="Century Gothic" w:hAnsi="Century Gothic"/>
                <w:b/>
                <w:sz w:val="22"/>
                <w:szCs w:val="22"/>
              </w:rPr>
            </w:pPr>
            <w:r w:rsidRPr="00CD7B09">
              <w:rPr>
                <w:rFonts w:ascii="Century Gothic" w:hAnsi="Century Gothic"/>
                <w:b/>
                <w:sz w:val="22"/>
                <w:szCs w:val="22"/>
              </w:rPr>
              <w:t>Gabriel Jaime Vallejo Chujfi</w:t>
            </w:r>
          </w:p>
          <w:p w14:paraId="26CEBED3" w14:textId="77777777" w:rsidR="00544E6E" w:rsidRPr="00CD7B09" w:rsidRDefault="00544E6E" w:rsidP="009F0165">
            <w:pPr>
              <w:rPr>
                <w:rFonts w:ascii="Century Gothic" w:hAnsi="Century Gothic"/>
                <w:sz w:val="22"/>
                <w:szCs w:val="22"/>
              </w:rPr>
            </w:pPr>
            <w:r w:rsidRPr="00CD7B09">
              <w:rPr>
                <w:rFonts w:ascii="Century Gothic" w:hAnsi="Century Gothic"/>
                <w:sz w:val="22"/>
                <w:szCs w:val="22"/>
              </w:rPr>
              <w:t>Representante a la Cámara por Risaralda</w:t>
            </w:r>
          </w:p>
        </w:tc>
      </w:tr>
      <w:tr w:rsidR="00CD7B09" w:rsidRPr="00CD7B09" w14:paraId="767A953C" w14:textId="77777777" w:rsidTr="009F0165">
        <w:tc>
          <w:tcPr>
            <w:tcW w:w="44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C29238" w14:textId="77777777" w:rsidR="00544E6E" w:rsidRPr="00CD7B09" w:rsidRDefault="00544E6E" w:rsidP="009F0165">
            <w:pPr>
              <w:rPr>
                <w:rFonts w:ascii="Century Gothic" w:hAnsi="Century Gothic"/>
                <w:sz w:val="22"/>
                <w:szCs w:val="22"/>
              </w:rPr>
            </w:pPr>
          </w:p>
          <w:p w14:paraId="22704DCE" w14:textId="77777777" w:rsidR="00544E6E" w:rsidRPr="00CD7B09" w:rsidRDefault="00544E6E" w:rsidP="009F0165">
            <w:pPr>
              <w:rPr>
                <w:rFonts w:ascii="Century Gothic" w:hAnsi="Century Gothic"/>
                <w:sz w:val="22"/>
                <w:szCs w:val="22"/>
              </w:rPr>
            </w:pPr>
          </w:p>
          <w:p w14:paraId="49659B32" w14:textId="77777777" w:rsidR="00544E6E" w:rsidRPr="00CD7B09" w:rsidRDefault="00544E6E" w:rsidP="009F0165">
            <w:pPr>
              <w:rPr>
                <w:rFonts w:ascii="Century Gothic" w:hAnsi="Century Gothic"/>
                <w:sz w:val="22"/>
                <w:szCs w:val="22"/>
              </w:rPr>
            </w:pPr>
          </w:p>
          <w:p w14:paraId="59FFB251" w14:textId="77777777" w:rsidR="00544E6E" w:rsidRPr="00CD7B09" w:rsidRDefault="00544E6E" w:rsidP="009F0165">
            <w:pPr>
              <w:rPr>
                <w:rFonts w:ascii="Century Gothic" w:hAnsi="Century Gothic"/>
                <w:b/>
                <w:sz w:val="22"/>
                <w:szCs w:val="22"/>
              </w:rPr>
            </w:pPr>
            <w:r w:rsidRPr="00CD7B09">
              <w:rPr>
                <w:rFonts w:ascii="Century Gothic" w:hAnsi="Century Gothic"/>
                <w:b/>
                <w:sz w:val="22"/>
                <w:szCs w:val="22"/>
              </w:rPr>
              <w:t>Juan Carlos Lozada Vargas</w:t>
            </w:r>
          </w:p>
          <w:p w14:paraId="4168AF82" w14:textId="77777777" w:rsidR="00544E6E" w:rsidRPr="00CD7B09" w:rsidRDefault="00544E6E" w:rsidP="009F0165">
            <w:pPr>
              <w:rPr>
                <w:rFonts w:ascii="Century Gothic" w:hAnsi="Century Gothic"/>
                <w:sz w:val="22"/>
                <w:szCs w:val="22"/>
              </w:rPr>
            </w:pPr>
            <w:r w:rsidRPr="00CD7B09">
              <w:rPr>
                <w:rFonts w:ascii="Century Gothic" w:hAnsi="Century Gothic"/>
                <w:sz w:val="22"/>
                <w:szCs w:val="22"/>
              </w:rPr>
              <w:t>Representante a la Cámara por Bogotá</w:t>
            </w:r>
          </w:p>
        </w:tc>
        <w:tc>
          <w:tcPr>
            <w:tcW w:w="44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1DF26" w14:textId="77777777" w:rsidR="00544E6E" w:rsidRPr="00CD7B09" w:rsidRDefault="00544E6E" w:rsidP="009F0165">
            <w:pPr>
              <w:rPr>
                <w:rFonts w:ascii="Century Gothic" w:hAnsi="Century Gothic"/>
                <w:sz w:val="22"/>
                <w:szCs w:val="22"/>
              </w:rPr>
            </w:pPr>
          </w:p>
        </w:tc>
      </w:tr>
    </w:tbl>
    <w:p w14:paraId="39929150" w14:textId="77777777" w:rsidR="00544E6E" w:rsidRPr="00CD7B09" w:rsidRDefault="00544E6E" w:rsidP="00E85348">
      <w:pPr>
        <w:rPr>
          <w:rFonts w:ascii="Century Gothic" w:hAnsi="Century Gothic"/>
          <w:b/>
          <w:sz w:val="22"/>
          <w:szCs w:val="22"/>
        </w:rPr>
      </w:pPr>
    </w:p>
    <w:p w14:paraId="4A83D103" w14:textId="2F7D182F" w:rsidR="00E85348" w:rsidRPr="00CD7B09" w:rsidRDefault="00E85348" w:rsidP="00E85348">
      <w:pPr>
        <w:rPr>
          <w:rFonts w:ascii="Century Gothic" w:hAnsi="Century Gothic"/>
          <w:b/>
          <w:sz w:val="22"/>
          <w:szCs w:val="22"/>
        </w:rPr>
      </w:pPr>
      <w:r w:rsidRPr="00CD7B09">
        <w:rPr>
          <w:rFonts w:ascii="Century Gothic" w:hAnsi="Century Gothic"/>
          <w:b/>
          <w:sz w:val="22"/>
          <w:szCs w:val="22"/>
        </w:rPr>
        <w:br w:type="page"/>
      </w:r>
    </w:p>
    <w:p w14:paraId="6D159B56" w14:textId="77777777" w:rsidR="00E85348" w:rsidRPr="00CD7B09" w:rsidRDefault="00E85348" w:rsidP="00E85348">
      <w:pPr>
        <w:rPr>
          <w:rFonts w:ascii="Century Gothic" w:hAnsi="Century Gothic"/>
          <w:b/>
          <w:sz w:val="22"/>
          <w:szCs w:val="22"/>
        </w:rPr>
      </w:pPr>
    </w:p>
    <w:p w14:paraId="3A7A9A7B" w14:textId="77777777" w:rsidR="00E85348" w:rsidRPr="00CD7B09" w:rsidRDefault="00E85348" w:rsidP="00E85348">
      <w:pPr>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PROYECTO DE LEY ESTATUTARIA Nº 143 de 2021 CÁMARA</w:t>
      </w:r>
    </w:p>
    <w:p w14:paraId="7FC1A332" w14:textId="77777777" w:rsidR="0041410F" w:rsidRPr="00CD7B09" w:rsidRDefault="0041410F" w:rsidP="00E85348">
      <w:pPr>
        <w:ind w:right="49"/>
        <w:jc w:val="center"/>
        <w:rPr>
          <w:rFonts w:ascii="Century Gothic" w:eastAsia="Garamond" w:hAnsi="Century Gothic" w:cs="Garamond"/>
          <w:b/>
          <w:sz w:val="22"/>
          <w:szCs w:val="22"/>
        </w:rPr>
      </w:pPr>
    </w:p>
    <w:p w14:paraId="0AE4480D" w14:textId="6D3D02B2" w:rsidR="00E85348" w:rsidRPr="00CD7B09" w:rsidRDefault="00E85348" w:rsidP="00E85348">
      <w:pPr>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“POR LA CUAL SE CREA UNA ESPECIALIDAD JUDICIAL AGRARIA Y RURAL, SE ESTABLECEN LOS MECANISMOS PARA LA RESOLUCIÓN DE CONTROVERSIAS Y LITIGIOS AGRARIOS Y RURALES Y SE DICTAN OTRAS DISPOSICIONES”.</w:t>
      </w:r>
    </w:p>
    <w:p w14:paraId="72ACCD39" w14:textId="77777777" w:rsidR="00E85348" w:rsidRPr="00CD7B09" w:rsidRDefault="00E85348" w:rsidP="00E85348">
      <w:pPr>
        <w:pBdr>
          <w:top w:val="none" w:sz="0" w:space="0" w:color="000000"/>
          <w:left w:val="none" w:sz="0" w:space="0" w:color="000000"/>
          <w:bottom w:val="none" w:sz="0" w:space="0" w:color="000000"/>
          <w:right w:val="none" w:sz="0" w:space="0" w:color="000000"/>
          <w:between w:val="none" w:sz="0" w:space="0" w:color="000000"/>
        </w:pBdr>
        <w:ind w:right="49"/>
        <w:jc w:val="center"/>
        <w:rPr>
          <w:rFonts w:ascii="Century Gothic" w:eastAsia="Garamond" w:hAnsi="Century Gothic" w:cs="Garamond"/>
          <w:b/>
          <w:sz w:val="22"/>
          <w:szCs w:val="22"/>
        </w:rPr>
      </w:pPr>
    </w:p>
    <w:p w14:paraId="6A49EDE1" w14:textId="77777777" w:rsidR="00E85348" w:rsidRPr="00CD7B09" w:rsidRDefault="00E85348" w:rsidP="00E85348">
      <w:pPr>
        <w:pBdr>
          <w:top w:val="none" w:sz="0" w:space="0" w:color="000000"/>
          <w:left w:val="none" w:sz="0" w:space="0" w:color="000000"/>
          <w:bottom w:val="none" w:sz="0" w:space="0" w:color="000000"/>
          <w:right w:val="none" w:sz="0" w:space="0" w:color="000000"/>
          <w:between w:val="none" w:sz="0" w:space="0" w:color="000000"/>
        </w:pBdr>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EL CONGRESO DE COLOMBIA</w:t>
      </w:r>
    </w:p>
    <w:p w14:paraId="3137B96A" w14:textId="77777777" w:rsidR="00E85348" w:rsidRPr="00CD7B09" w:rsidRDefault="00E85348" w:rsidP="00E85348">
      <w:pPr>
        <w:pBdr>
          <w:top w:val="none" w:sz="0" w:space="0" w:color="000000"/>
          <w:left w:val="none" w:sz="0" w:space="0" w:color="000000"/>
          <w:bottom w:val="none" w:sz="0" w:space="0" w:color="000000"/>
          <w:right w:val="none" w:sz="0" w:space="0" w:color="000000"/>
          <w:between w:val="none" w:sz="0" w:space="0" w:color="000000"/>
        </w:pBdr>
        <w:ind w:right="49"/>
        <w:jc w:val="center"/>
        <w:rPr>
          <w:rFonts w:ascii="Century Gothic" w:eastAsia="Garamond" w:hAnsi="Century Gothic" w:cs="Garamond"/>
          <w:b/>
          <w:sz w:val="22"/>
          <w:szCs w:val="22"/>
        </w:rPr>
      </w:pPr>
    </w:p>
    <w:p w14:paraId="5AC3B6B5" w14:textId="2E37A40B" w:rsidR="00CB1679" w:rsidRPr="00CD7B09" w:rsidRDefault="00E85348" w:rsidP="00CB1679">
      <w:pPr>
        <w:pBdr>
          <w:top w:val="none" w:sz="0" w:space="0" w:color="000000"/>
          <w:left w:val="none" w:sz="0" w:space="0" w:color="000000"/>
          <w:bottom w:val="none" w:sz="0" w:space="0" w:color="000000"/>
          <w:right w:val="none" w:sz="0" w:space="0" w:color="000000"/>
          <w:between w:val="none" w:sz="0" w:space="0" w:color="000000"/>
        </w:pBdr>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DECRETA:</w:t>
      </w:r>
    </w:p>
    <w:p w14:paraId="50BB42A7" w14:textId="77777777" w:rsidR="00CB1679" w:rsidRPr="00CD7B09" w:rsidRDefault="00CB1679" w:rsidP="00CB1679">
      <w:pPr>
        <w:pBdr>
          <w:top w:val="none" w:sz="0" w:space="0" w:color="000000"/>
          <w:left w:val="none" w:sz="0" w:space="0" w:color="000000"/>
          <w:bottom w:val="none" w:sz="0" w:space="0" w:color="000000"/>
          <w:right w:val="none" w:sz="0" w:space="0" w:color="000000"/>
          <w:between w:val="none" w:sz="0" w:space="0" w:color="000000"/>
        </w:pBdr>
        <w:ind w:right="49"/>
        <w:jc w:val="center"/>
        <w:rPr>
          <w:rFonts w:ascii="Century Gothic" w:eastAsia="Garamond" w:hAnsi="Century Gothic" w:cs="Garamond"/>
          <w:b/>
          <w:sz w:val="22"/>
          <w:szCs w:val="22"/>
        </w:rPr>
      </w:pPr>
    </w:p>
    <w:p w14:paraId="21452B14"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T</w:t>
      </w:r>
      <w:r w:rsidRPr="00CD7B09">
        <w:rPr>
          <w:rFonts w:ascii="Century Gothic" w:eastAsia="Helvetica" w:hAnsi="Century Gothic" w:cs="Helvetica"/>
          <w:b/>
          <w:sz w:val="22"/>
          <w:szCs w:val="22"/>
        </w:rPr>
        <w:t>ÍTULO I</w:t>
      </w:r>
    </w:p>
    <w:p w14:paraId="75925243"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b/>
          <w:sz w:val="22"/>
          <w:szCs w:val="22"/>
        </w:rPr>
      </w:pPr>
    </w:p>
    <w:p w14:paraId="096AD6CB"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DISPOSICIONES GENERALES</w:t>
      </w:r>
    </w:p>
    <w:p w14:paraId="62BEE65C"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p>
    <w:p w14:paraId="5098559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 xml:space="preserve">ículo 1. Objeto. </w:t>
      </w:r>
      <w:r w:rsidRPr="00CD7B09">
        <w:rPr>
          <w:rFonts w:ascii="Century Gothic" w:eastAsia="Garamond" w:hAnsi="Century Gothic" w:cs="Garamond"/>
          <w:sz w:val="22"/>
          <w:szCs w:val="22"/>
        </w:rPr>
        <w:t>Regular el marco procesal que rige las actuaciones judiciales y mecanismos alternativos para la resoluci</w:t>
      </w:r>
      <w:r w:rsidRPr="00CD7B09">
        <w:rPr>
          <w:rFonts w:ascii="Century Gothic" w:eastAsia="Helvetica" w:hAnsi="Century Gothic" w:cs="Helvetica"/>
          <w:sz w:val="22"/>
          <w:szCs w:val="22"/>
        </w:rPr>
        <w:t>ón de los litigios y controversias respecto de los derechos de propiedad, posesión, ocupación, usufructo, servidumbre, uso y tenencia de bienes inmuebles ubicados en suelo rural</w:t>
      </w:r>
      <w:r w:rsidRPr="00CD7B09">
        <w:rPr>
          <w:rFonts w:ascii="Century Gothic" w:eastAsia="Garamond" w:hAnsi="Century Gothic" w:cs="Garamond"/>
          <w:sz w:val="22"/>
          <w:szCs w:val="22"/>
        </w:rPr>
        <w:t>, as</w:t>
      </w:r>
      <w:r w:rsidRPr="00CD7B09">
        <w:rPr>
          <w:rFonts w:ascii="Century Gothic" w:eastAsia="Helvetica" w:hAnsi="Century Gothic" w:cs="Helvetica"/>
          <w:sz w:val="22"/>
          <w:szCs w:val="22"/>
        </w:rPr>
        <w:t>í como los asuntos de naturaleza ag</w:t>
      </w:r>
      <w:r w:rsidRPr="00CD7B09">
        <w:rPr>
          <w:rFonts w:ascii="Century Gothic" w:eastAsia="Garamond" w:hAnsi="Century Gothic" w:cs="Garamond"/>
          <w:sz w:val="22"/>
          <w:szCs w:val="22"/>
        </w:rPr>
        <w:t>raria previstos en la legislaci</w:t>
      </w:r>
      <w:r w:rsidRPr="00CD7B09">
        <w:rPr>
          <w:rFonts w:ascii="Century Gothic" w:eastAsia="Helvetica" w:hAnsi="Century Gothic" w:cs="Helvetica"/>
          <w:sz w:val="22"/>
          <w:szCs w:val="22"/>
        </w:rPr>
        <w:t xml:space="preserve">ón agraria vigente. </w:t>
      </w:r>
    </w:p>
    <w:p w14:paraId="7F18CA4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p>
    <w:p w14:paraId="75154E7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 xml:space="preserve">ículo 2. Ámbito de aplicación. </w:t>
      </w:r>
      <w:r w:rsidRPr="00CD7B09">
        <w:rPr>
          <w:rFonts w:ascii="Century Gothic" w:eastAsia="Garamond" w:hAnsi="Century Gothic" w:cs="Garamond"/>
          <w:sz w:val="22"/>
          <w:szCs w:val="22"/>
        </w:rPr>
        <w:t>La especialidad agraria y rural de la jurisdicci</w:t>
      </w:r>
      <w:r w:rsidRPr="00CD7B09">
        <w:rPr>
          <w:rFonts w:ascii="Century Gothic" w:eastAsia="Helvetica" w:hAnsi="Century Gothic" w:cs="Helvetica"/>
          <w:sz w:val="22"/>
          <w:szCs w:val="22"/>
        </w:rPr>
        <w:t>ón ordinaria y la especialidad agraria y rural de la jurisdicción contenciosa administrativa tendrán cobertura y capacida</w:t>
      </w:r>
      <w:r w:rsidRPr="00CD7B09">
        <w:rPr>
          <w:rFonts w:ascii="Century Gothic" w:eastAsia="Garamond" w:hAnsi="Century Gothic" w:cs="Garamond"/>
          <w:sz w:val="22"/>
          <w:szCs w:val="22"/>
        </w:rPr>
        <w:t>d en todo el territorio nacional.</w:t>
      </w:r>
    </w:p>
    <w:p w14:paraId="4D6F7C66"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4904412D" w14:textId="2DC42896"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 xml:space="preserve">ículo 3. Principios. </w:t>
      </w:r>
      <w:r w:rsidRPr="00CD7B09">
        <w:rPr>
          <w:rFonts w:ascii="Century Gothic" w:eastAsia="Garamond" w:hAnsi="Century Gothic" w:cs="Garamond"/>
          <w:sz w:val="22"/>
          <w:szCs w:val="22"/>
        </w:rPr>
        <w:t>En la aplicaci</w:t>
      </w:r>
      <w:r w:rsidRPr="00CD7B09">
        <w:rPr>
          <w:rFonts w:ascii="Century Gothic" w:eastAsia="Helvetica" w:hAnsi="Century Gothic" w:cs="Helvetica"/>
          <w:sz w:val="22"/>
          <w:szCs w:val="22"/>
        </w:rPr>
        <w:t xml:space="preserve">ón e interpretación de las disposiciones de esta ley deberán observarse de manera prevalente los principios constitucionales, así como los del derecho procesal general, con el objeto </w:t>
      </w:r>
      <w:r w:rsidRPr="00CD7B09">
        <w:rPr>
          <w:rFonts w:ascii="Century Gothic" w:eastAsia="Garamond" w:hAnsi="Century Gothic" w:cs="Garamond"/>
          <w:sz w:val="22"/>
          <w:szCs w:val="22"/>
        </w:rPr>
        <w:t>de garantizar la efectividad de los derechos. De igual forma, se tendr</w:t>
      </w:r>
      <w:r w:rsidRPr="00CD7B09">
        <w:rPr>
          <w:rFonts w:ascii="Century Gothic" w:eastAsia="Helvetica" w:hAnsi="Century Gothic" w:cs="Helvetica"/>
          <w:sz w:val="22"/>
          <w:szCs w:val="22"/>
        </w:rPr>
        <w:t>án en cuenta los siguiente</w:t>
      </w:r>
      <w:r w:rsidRPr="00CD7B09">
        <w:rPr>
          <w:rFonts w:ascii="Century Gothic" w:eastAsia="Garamond" w:hAnsi="Century Gothic" w:cs="Garamond"/>
          <w:sz w:val="22"/>
          <w:szCs w:val="22"/>
        </w:rPr>
        <w:t>s principios especiales, que deberán tener estricta observancia:</w:t>
      </w:r>
    </w:p>
    <w:p w14:paraId="4345394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51B45CFF" w14:textId="77777777" w:rsidR="00CB1679" w:rsidRPr="00CD7B09" w:rsidRDefault="00CB1679" w:rsidP="00CB1679">
      <w:pPr>
        <w:widowControl w:val="0"/>
        <w:numPr>
          <w:ilvl w:val="0"/>
          <w:numId w:val="12"/>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Accesibilidad.</w:t>
      </w:r>
      <w:r w:rsidRPr="00CD7B09">
        <w:rPr>
          <w:rFonts w:ascii="Century Gothic" w:eastAsia="Garamond" w:hAnsi="Century Gothic" w:cs="Garamond"/>
          <w:sz w:val="22"/>
          <w:szCs w:val="22"/>
        </w:rPr>
        <w:t xml:space="preserve"> Los despachos judiciales rurales y agrarios deber</w:t>
      </w:r>
      <w:r w:rsidRPr="00CD7B09">
        <w:rPr>
          <w:rFonts w:ascii="Century Gothic" w:eastAsia="Helvetica" w:hAnsi="Century Gothic" w:cs="Helvetica"/>
          <w:sz w:val="22"/>
          <w:szCs w:val="22"/>
        </w:rPr>
        <w:t>án ser objeto de la implementación de un Modelo de Gestión por parte del Consejo Superior de la Judicatura que se compadezca con la realidad de las áreas rurales y rurales dispersas, favoreciendo horarios d</w:t>
      </w:r>
      <w:r w:rsidRPr="00CD7B09">
        <w:rPr>
          <w:rFonts w:ascii="Century Gothic" w:eastAsia="Garamond" w:hAnsi="Century Gothic" w:cs="Garamond"/>
          <w:sz w:val="22"/>
          <w:szCs w:val="22"/>
        </w:rPr>
        <w:t>e atenci</w:t>
      </w:r>
      <w:r w:rsidRPr="00CD7B09">
        <w:rPr>
          <w:rFonts w:ascii="Century Gothic" w:eastAsia="Helvetica" w:hAnsi="Century Gothic" w:cs="Helvetica"/>
          <w:sz w:val="22"/>
          <w:szCs w:val="22"/>
        </w:rPr>
        <w:t>ón al público que se armonicen con el giro ordinario de la actividad rural en las cabeceras municipales, deberán contar con un conciliador en derecho adjunto al despacho y un facilitador que provea información a los ciudadanos con miras a superar l</w:t>
      </w:r>
      <w:r w:rsidRPr="00CD7B09">
        <w:rPr>
          <w:rFonts w:ascii="Century Gothic" w:eastAsia="Garamond" w:hAnsi="Century Gothic" w:cs="Garamond"/>
          <w:sz w:val="22"/>
          <w:szCs w:val="22"/>
        </w:rPr>
        <w:t>as barreras de acceso a la administraci</w:t>
      </w:r>
      <w:r w:rsidRPr="00CD7B09">
        <w:rPr>
          <w:rFonts w:ascii="Century Gothic" w:eastAsia="Helvetica" w:hAnsi="Century Gothic" w:cs="Helvetica"/>
          <w:sz w:val="22"/>
          <w:szCs w:val="22"/>
        </w:rPr>
        <w:t xml:space="preserve">ón de justicia. Para las zonas rurales indígenas, el conciliador y el facilitador deberán dominar la lengua originaria de la región en la cual ejercerá sus funciones. Deberán generarse formatos de fácil entendimiento </w:t>
      </w:r>
      <w:r w:rsidRPr="00CD7B09">
        <w:rPr>
          <w:rFonts w:ascii="Century Gothic" w:eastAsia="Garamond" w:hAnsi="Century Gothic" w:cs="Garamond"/>
          <w:sz w:val="22"/>
          <w:szCs w:val="22"/>
        </w:rPr>
        <w:t>para la poblaci</w:t>
      </w:r>
      <w:r w:rsidRPr="00CD7B09">
        <w:rPr>
          <w:rFonts w:ascii="Century Gothic" w:eastAsia="Helvetica" w:hAnsi="Century Gothic" w:cs="Helvetica"/>
          <w:sz w:val="22"/>
          <w:szCs w:val="22"/>
        </w:rPr>
        <w:t>ón rural con miras a acceder a la oferta judicial de manera más simple y con el mínimo de formalidades necesarias para presentar ante el juez los derechos objeto de reclamo o defensa.</w:t>
      </w:r>
    </w:p>
    <w:p w14:paraId="0F607F8D" w14:textId="77777777" w:rsidR="00CB1679" w:rsidRPr="00CD7B09" w:rsidRDefault="00CB1679" w:rsidP="00CB1679">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53" w:right="49"/>
        <w:jc w:val="both"/>
        <w:rPr>
          <w:rFonts w:ascii="Century Gothic" w:eastAsia="Garamond" w:hAnsi="Century Gothic" w:cs="Garamond"/>
          <w:sz w:val="22"/>
          <w:szCs w:val="22"/>
        </w:rPr>
      </w:pPr>
    </w:p>
    <w:p w14:paraId="040A00B2" w14:textId="77777777" w:rsidR="00CB1679" w:rsidRPr="00CD7B09" w:rsidRDefault="00CB1679" w:rsidP="00CB1679">
      <w:pPr>
        <w:widowControl w:val="0"/>
        <w:numPr>
          <w:ilvl w:val="0"/>
          <w:numId w:val="12"/>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Buena fe procesal.</w:t>
      </w:r>
      <w:r w:rsidRPr="00CD7B09">
        <w:rPr>
          <w:rFonts w:ascii="Century Gothic" w:eastAsia="Garamond" w:hAnsi="Century Gothic" w:cs="Garamond"/>
          <w:sz w:val="22"/>
          <w:szCs w:val="22"/>
        </w:rPr>
        <w:t xml:space="preserve"> Es deber de las partes y dem</w:t>
      </w:r>
      <w:r w:rsidRPr="00CD7B09">
        <w:rPr>
          <w:rFonts w:ascii="Century Gothic" w:eastAsia="Helvetica" w:hAnsi="Century Gothic" w:cs="Helvetica"/>
          <w:sz w:val="22"/>
          <w:szCs w:val="22"/>
        </w:rPr>
        <w:t>ás interv</w:t>
      </w:r>
      <w:r w:rsidRPr="00CD7B09">
        <w:rPr>
          <w:rFonts w:ascii="Century Gothic" w:eastAsia="Garamond" w:hAnsi="Century Gothic" w:cs="Garamond"/>
          <w:sz w:val="22"/>
          <w:szCs w:val="22"/>
        </w:rPr>
        <w:t>inientes en el proceso agrario y rural, proceder con lealtad, probidad y buena fe en todos sus actos dentro del proceso judicial.</w:t>
      </w:r>
    </w:p>
    <w:p w14:paraId="0EC9502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5C15D24C" w14:textId="77777777" w:rsidR="00CB1679" w:rsidRPr="00CD7B09" w:rsidRDefault="00CB1679" w:rsidP="00CB1679">
      <w:pPr>
        <w:widowControl w:val="0"/>
        <w:numPr>
          <w:ilvl w:val="0"/>
          <w:numId w:val="12"/>
        </w:numPr>
        <w:pBdr>
          <w:top w:val="nil"/>
          <w:left w:val="nil"/>
          <w:bottom w:val="nil"/>
          <w:right w:val="nil"/>
          <w:between w:val="nil"/>
        </w:pBdr>
        <w:tabs>
          <w:tab w:val="left" w:pos="1416"/>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Celeridad y econom</w:t>
      </w:r>
      <w:r w:rsidRPr="00CD7B09">
        <w:rPr>
          <w:rFonts w:ascii="Century Gothic" w:eastAsia="Helvetica" w:hAnsi="Century Gothic" w:cs="Helvetica"/>
          <w:b/>
          <w:sz w:val="22"/>
          <w:szCs w:val="22"/>
        </w:rPr>
        <w:t>ía procesal</w:t>
      </w:r>
      <w:r w:rsidRPr="00CD7B09">
        <w:rPr>
          <w:rFonts w:ascii="Century Gothic" w:eastAsia="Garamond" w:hAnsi="Century Gothic" w:cs="Garamond"/>
          <w:sz w:val="22"/>
          <w:szCs w:val="22"/>
        </w:rPr>
        <w:t>. Las actuaciones judiciales se deben adelantar con austeridad y eficiencia, evitando la dilaci</w:t>
      </w:r>
      <w:r w:rsidRPr="00CD7B09">
        <w:rPr>
          <w:rFonts w:ascii="Century Gothic" w:eastAsia="Helvetica" w:hAnsi="Century Gothic" w:cs="Helvetica"/>
          <w:sz w:val="22"/>
          <w:szCs w:val="22"/>
        </w:rPr>
        <w:t>ón de los procedimientos, las decisiones inocuas y la interposición de recursos innecesarios. Se dotará a las autoridades judiciales de poderes correctivos para evitar maniobras o prácticas dilatorias que atenten contra la celeridad de los procesos.</w:t>
      </w:r>
    </w:p>
    <w:p w14:paraId="4C31826E" w14:textId="77777777" w:rsidR="00CB1679" w:rsidRPr="00CD7B09" w:rsidRDefault="00CB1679" w:rsidP="00CB1679">
      <w:pPr>
        <w:pStyle w:val="Prrafodelista"/>
        <w:rPr>
          <w:rFonts w:ascii="Century Gothic" w:eastAsia="Garamond" w:hAnsi="Century Gothic" w:cs="Garamond"/>
        </w:rPr>
      </w:pPr>
    </w:p>
    <w:p w14:paraId="2265811E" w14:textId="77777777" w:rsidR="00CB1679" w:rsidRPr="00CD7B09" w:rsidRDefault="00CB1679" w:rsidP="00CB1679">
      <w:pPr>
        <w:widowControl w:val="0"/>
        <w:numPr>
          <w:ilvl w:val="0"/>
          <w:numId w:val="12"/>
        </w:numPr>
        <w:pBdr>
          <w:top w:val="nil"/>
          <w:left w:val="nil"/>
          <w:bottom w:val="nil"/>
          <w:right w:val="nil"/>
          <w:between w:val="nil"/>
        </w:pBdr>
        <w:tabs>
          <w:tab w:val="left" w:pos="1416"/>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Democratizaci</w:t>
      </w:r>
      <w:r w:rsidRPr="00CD7B09">
        <w:rPr>
          <w:rFonts w:ascii="Century Gothic" w:eastAsia="Helvetica" w:hAnsi="Century Gothic" w:cs="Helvetica"/>
          <w:b/>
          <w:sz w:val="22"/>
          <w:szCs w:val="22"/>
        </w:rPr>
        <w:t xml:space="preserve">ón del acceso y uso adecuado de la tierra. </w:t>
      </w:r>
      <w:r w:rsidRPr="00CD7B09">
        <w:rPr>
          <w:rFonts w:ascii="Century Gothic" w:eastAsia="Garamond" w:hAnsi="Century Gothic" w:cs="Garamond"/>
          <w:sz w:val="22"/>
          <w:szCs w:val="22"/>
        </w:rPr>
        <w:t>Se garantizar</w:t>
      </w:r>
      <w:r w:rsidRPr="00CD7B09">
        <w:rPr>
          <w:rFonts w:ascii="Century Gothic" w:eastAsia="Helvetica" w:hAnsi="Century Gothic" w:cs="Helvetica"/>
          <w:sz w:val="22"/>
          <w:szCs w:val="22"/>
        </w:rPr>
        <w:t xml:space="preserve">á la propiedad privada y los demás derechos adquiridos conforme a derecho. La propiedad es una función social que implica obligaciones. Es deber del Estado promover el acceso progresivo </w:t>
      </w:r>
      <w:r w:rsidRPr="00CD7B09">
        <w:rPr>
          <w:rFonts w:ascii="Century Gothic" w:eastAsia="Garamond" w:hAnsi="Century Gothic" w:cs="Garamond"/>
          <w:sz w:val="22"/>
          <w:szCs w:val="22"/>
        </w:rPr>
        <w:t xml:space="preserve">a la propiedad de la tierra con el fin de mejorar el ingreso y calidad de vida de los campesinos. </w:t>
      </w:r>
    </w:p>
    <w:p w14:paraId="2B17167E" w14:textId="77777777" w:rsidR="00CB1679" w:rsidRPr="00CD7B09" w:rsidRDefault="00CB1679" w:rsidP="00CB1679">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53" w:right="49"/>
        <w:jc w:val="both"/>
        <w:rPr>
          <w:rFonts w:ascii="Century Gothic" w:eastAsia="Garamond" w:hAnsi="Century Gothic" w:cs="Garamond"/>
          <w:sz w:val="22"/>
          <w:szCs w:val="22"/>
        </w:rPr>
      </w:pPr>
    </w:p>
    <w:p w14:paraId="2FC6BB43" w14:textId="77777777" w:rsidR="00CB1679" w:rsidRPr="00CD7B09" w:rsidRDefault="00CB1679" w:rsidP="00CB1679">
      <w:pPr>
        <w:widowControl w:val="0"/>
        <w:pBdr>
          <w:top w:val="nil"/>
          <w:left w:val="nil"/>
          <w:bottom w:val="nil"/>
          <w:right w:val="nil"/>
          <w:between w:val="nil"/>
        </w:pBdr>
        <w:tabs>
          <w:tab w:val="left" w:pos="1416"/>
          <w:tab w:val="left" w:pos="8338"/>
        </w:tabs>
        <w:ind w:left="253" w:right="49"/>
        <w:jc w:val="both"/>
        <w:rPr>
          <w:rFonts w:ascii="Century Gothic" w:eastAsia="Garamond" w:hAnsi="Century Gothic" w:cs="Garamond"/>
          <w:sz w:val="22"/>
          <w:szCs w:val="22"/>
        </w:rPr>
      </w:pPr>
      <w:r w:rsidRPr="00CD7B09">
        <w:rPr>
          <w:rFonts w:ascii="Century Gothic" w:eastAsia="Garamond" w:hAnsi="Century Gothic" w:cs="Garamond"/>
          <w:sz w:val="22"/>
          <w:szCs w:val="22"/>
        </w:rPr>
        <w:t>En aplicaci</w:t>
      </w:r>
      <w:r w:rsidRPr="00CD7B09">
        <w:rPr>
          <w:rFonts w:ascii="Century Gothic" w:eastAsia="Helvetica" w:hAnsi="Century Gothic" w:cs="Helvetica"/>
          <w:sz w:val="22"/>
          <w:szCs w:val="22"/>
        </w:rPr>
        <w:t>ón de este principio en ningún caso se podrán afectar, vulnerar o desconocer los derechos adquiridos conforme a derecho por las decisiones que se</w:t>
      </w:r>
      <w:r w:rsidRPr="00CD7B09">
        <w:rPr>
          <w:rFonts w:ascii="Century Gothic" w:eastAsia="Garamond" w:hAnsi="Century Gothic" w:cs="Garamond"/>
          <w:sz w:val="22"/>
          <w:szCs w:val="22"/>
        </w:rPr>
        <w:t xml:space="preserve"> profieran en aplicaci</w:t>
      </w:r>
      <w:r w:rsidRPr="00CD7B09">
        <w:rPr>
          <w:rFonts w:ascii="Century Gothic" w:eastAsia="Helvetica" w:hAnsi="Century Gothic" w:cs="Helvetica"/>
          <w:sz w:val="22"/>
          <w:szCs w:val="22"/>
        </w:rPr>
        <w:t>ón de esta ley.</w:t>
      </w:r>
    </w:p>
    <w:p w14:paraId="760ACADC" w14:textId="77777777" w:rsidR="00CB1679" w:rsidRPr="00CD7B09" w:rsidRDefault="00CB1679" w:rsidP="00CB1679">
      <w:pPr>
        <w:widowControl w:val="0"/>
        <w:pBdr>
          <w:top w:val="nil"/>
          <w:left w:val="nil"/>
          <w:bottom w:val="nil"/>
          <w:right w:val="nil"/>
          <w:between w:val="nil"/>
        </w:pBdr>
        <w:tabs>
          <w:tab w:val="left" w:pos="927"/>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17154BBE" w14:textId="77777777" w:rsidR="00CB1679" w:rsidRPr="00CD7B09" w:rsidRDefault="00CB1679" w:rsidP="00CB1679">
      <w:pPr>
        <w:widowControl w:val="0"/>
        <w:numPr>
          <w:ilvl w:val="0"/>
          <w:numId w:val="12"/>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Desarrollo integral del campo.</w:t>
      </w:r>
      <w:r w:rsidRPr="00CD7B09">
        <w:rPr>
          <w:rFonts w:ascii="Century Gothic" w:eastAsia="Garamond" w:hAnsi="Century Gothic" w:cs="Garamond"/>
          <w:sz w:val="22"/>
          <w:szCs w:val="22"/>
        </w:rPr>
        <w:t xml:space="preserve"> El desarrollo integral del campo depende de un adecuado balance entre las diferentes formas de producci</w:t>
      </w:r>
      <w:r w:rsidRPr="00CD7B09">
        <w:rPr>
          <w:rFonts w:ascii="Century Gothic" w:eastAsia="Helvetica" w:hAnsi="Century Gothic" w:cs="Helvetica"/>
          <w:sz w:val="22"/>
          <w:szCs w:val="22"/>
        </w:rPr>
        <w:t>ón existentes –agricultura familiar, agroindustria, turismo, agricultura comercial de escala-; de la competitividad y de la necesidad de promover y fome</w:t>
      </w:r>
      <w:r w:rsidRPr="00CD7B09">
        <w:rPr>
          <w:rFonts w:ascii="Century Gothic" w:eastAsia="Garamond" w:hAnsi="Century Gothic" w:cs="Garamond"/>
          <w:sz w:val="22"/>
          <w:szCs w:val="22"/>
        </w:rPr>
        <w:t>ntar la inversi</w:t>
      </w:r>
      <w:r w:rsidRPr="00CD7B09">
        <w:rPr>
          <w:rFonts w:ascii="Century Gothic" w:eastAsia="Helvetica" w:hAnsi="Century Gothic" w:cs="Helvetica"/>
          <w:sz w:val="22"/>
          <w:szCs w:val="22"/>
        </w:rPr>
        <w:t>ón en el campo con visión empresarial y fines productivos como condición para su desarrollo; y de la promoción y fomento, en condiciones de derecho, de encadenamientos de la pequeña producción rural con otros modelos de producción, que podrá</w:t>
      </w:r>
      <w:r w:rsidRPr="00CD7B09">
        <w:rPr>
          <w:rFonts w:ascii="Century Gothic" w:eastAsia="Garamond" w:hAnsi="Century Gothic" w:cs="Garamond"/>
          <w:sz w:val="22"/>
          <w:szCs w:val="22"/>
        </w:rPr>
        <w:t>n ser verticales u horizontales y en diferente escala. En todo caso se apoyar</w:t>
      </w:r>
      <w:r w:rsidRPr="00CD7B09">
        <w:rPr>
          <w:rFonts w:ascii="Century Gothic" w:eastAsia="Helvetica" w:hAnsi="Century Gothic" w:cs="Helvetica"/>
          <w:sz w:val="22"/>
          <w:szCs w:val="22"/>
        </w:rPr>
        <w:t>á y protegerá la economía campesina, familiar y comunitaria procurando su desarrollo y fortalecimiento.</w:t>
      </w:r>
    </w:p>
    <w:p w14:paraId="2707683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p>
    <w:p w14:paraId="623564DC" w14:textId="77777777" w:rsidR="00CB1679" w:rsidRPr="00CD7B09" w:rsidRDefault="00CB1679" w:rsidP="00CB1679">
      <w:pPr>
        <w:widowControl w:val="0"/>
        <w:numPr>
          <w:ilvl w:val="0"/>
          <w:numId w:val="12"/>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Eficacia.</w:t>
      </w:r>
      <w:r w:rsidRPr="00CD7B09">
        <w:rPr>
          <w:rFonts w:ascii="Century Gothic" w:eastAsia="Garamond" w:hAnsi="Century Gothic" w:cs="Garamond"/>
          <w:sz w:val="22"/>
          <w:szCs w:val="22"/>
        </w:rPr>
        <w:t xml:space="preserve"> Atendiendo a la finalidad de esta ley, se debe garantizar la materializaci</w:t>
      </w:r>
      <w:r w:rsidRPr="00CD7B09">
        <w:rPr>
          <w:rFonts w:ascii="Century Gothic" w:eastAsia="Helvetica" w:hAnsi="Century Gothic" w:cs="Helvetica"/>
          <w:sz w:val="22"/>
          <w:szCs w:val="22"/>
        </w:rPr>
        <w:t>ón de los mandatos dispuestos en los procedimientos judiciales, que diriman controversias en materia agraria y rural, así como la seguridad en el disfrute de los derechos reconocidos a los ciudadanos en las decisiones judiciales.</w:t>
      </w:r>
    </w:p>
    <w:p w14:paraId="356B413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6EB08C2D" w14:textId="77777777" w:rsidR="00CB1679" w:rsidRPr="00CD7B09" w:rsidRDefault="00CB1679" w:rsidP="00CB1679">
      <w:pPr>
        <w:widowControl w:val="0"/>
        <w:numPr>
          <w:ilvl w:val="0"/>
          <w:numId w:val="12"/>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Especialidad agraria y rural.</w:t>
      </w:r>
      <w:r w:rsidRPr="00CD7B09">
        <w:rPr>
          <w:rFonts w:ascii="Century Gothic" w:eastAsia="Garamond" w:hAnsi="Century Gothic" w:cs="Garamond"/>
          <w:sz w:val="22"/>
          <w:szCs w:val="22"/>
        </w:rPr>
        <w:t xml:space="preserve"> En la resoluci</w:t>
      </w:r>
      <w:r w:rsidRPr="00CD7B09">
        <w:rPr>
          <w:rFonts w:ascii="Century Gothic" w:eastAsia="Helvetica" w:hAnsi="Century Gothic" w:cs="Helvetica"/>
          <w:sz w:val="22"/>
          <w:szCs w:val="22"/>
        </w:rPr>
        <w:t>ón de las controversias y litigios a los cuales hace referencia esta ley los operadores judiciales de las especialidades agrarias y rurales de la jurisdicción ordinaria y de la jurisdicción de lo contencioso administrativo debe</w:t>
      </w:r>
      <w:r w:rsidRPr="00CD7B09">
        <w:rPr>
          <w:rFonts w:ascii="Century Gothic" w:eastAsia="Garamond" w:hAnsi="Century Gothic" w:cs="Garamond"/>
          <w:sz w:val="22"/>
          <w:szCs w:val="22"/>
        </w:rPr>
        <w:t>r</w:t>
      </w:r>
      <w:r w:rsidRPr="00CD7B09">
        <w:rPr>
          <w:rFonts w:ascii="Century Gothic" w:eastAsia="Helvetica" w:hAnsi="Century Gothic" w:cs="Helvetica"/>
          <w:sz w:val="22"/>
          <w:szCs w:val="22"/>
        </w:rPr>
        <w:t xml:space="preserve">án tener en cuenta las particularidades de las relaciones agrarias y rurales asociadas a litigios sobre fundos rurales, a actos administrativos emanados por parte de la Agencia Nacional de Tierras o quien haga sus veces. </w:t>
      </w:r>
    </w:p>
    <w:p w14:paraId="05FE8DF7" w14:textId="77777777" w:rsidR="00CB1679" w:rsidRPr="00CD7B09" w:rsidRDefault="00CB1679" w:rsidP="00CB1679">
      <w:pPr>
        <w:widowControl w:val="0"/>
        <w:pBdr>
          <w:top w:val="nil"/>
          <w:left w:val="nil"/>
          <w:bottom w:val="nil"/>
          <w:right w:val="nil"/>
          <w:between w:val="nil"/>
        </w:pBdr>
        <w:ind w:right="49"/>
        <w:jc w:val="both"/>
        <w:rPr>
          <w:rFonts w:ascii="Century Gothic" w:eastAsia="Garamond" w:hAnsi="Century Gothic" w:cs="Garamond"/>
          <w:sz w:val="22"/>
          <w:szCs w:val="22"/>
        </w:rPr>
      </w:pPr>
    </w:p>
    <w:p w14:paraId="1198FAB3" w14:textId="77777777" w:rsidR="00CB1679" w:rsidRPr="00CD7B09" w:rsidRDefault="00CB1679" w:rsidP="00CB1679">
      <w:pPr>
        <w:widowControl w:val="0"/>
        <w:pBdr>
          <w:top w:val="nil"/>
          <w:left w:val="nil"/>
          <w:bottom w:val="nil"/>
          <w:right w:val="nil"/>
          <w:between w:val="nil"/>
        </w:pBdr>
        <w:ind w:left="283"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competencias de conocimiento de esta especialidad ser</w:t>
      </w:r>
      <w:r w:rsidRPr="00CD7B09">
        <w:rPr>
          <w:rFonts w:ascii="Century Gothic" w:eastAsia="Helvetica" w:hAnsi="Century Gothic" w:cs="Helvetica"/>
          <w:sz w:val="22"/>
          <w:szCs w:val="22"/>
        </w:rPr>
        <w:t>án objeto de revisión por parte del Ministerio de Justicia y del Derecho cada cuatro (4) años con miras a establecer nuevos tipos de litigiosidad que ameriten ser conocidas por estos despachos judiciales en cuyo caso, de ser necesa</w:t>
      </w:r>
      <w:r w:rsidRPr="00CD7B09">
        <w:rPr>
          <w:rFonts w:ascii="Century Gothic" w:eastAsia="Garamond" w:hAnsi="Century Gothic" w:cs="Garamond"/>
          <w:sz w:val="22"/>
          <w:szCs w:val="22"/>
        </w:rPr>
        <w:t>rio, se tramitar</w:t>
      </w:r>
      <w:r w:rsidRPr="00CD7B09">
        <w:rPr>
          <w:rFonts w:ascii="Century Gothic" w:eastAsia="Helvetica" w:hAnsi="Century Gothic" w:cs="Helvetica"/>
          <w:sz w:val="22"/>
          <w:szCs w:val="22"/>
        </w:rPr>
        <w:t>á el respectivo proyecto de ley.</w:t>
      </w:r>
    </w:p>
    <w:p w14:paraId="34D660D2"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1F4D302F" w14:textId="77777777" w:rsidR="00CB1679" w:rsidRPr="00CD7B09" w:rsidRDefault="00CB1679" w:rsidP="00CB1679">
      <w:pPr>
        <w:widowControl w:val="0"/>
        <w:numPr>
          <w:ilvl w:val="0"/>
          <w:numId w:val="12"/>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Igualdad, equidad de g</w:t>
      </w:r>
      <w:r w:rsidRPr="00CD7B09">
        <w:rPr>
          <w:rFonts w:ascii="Century Gothic" w:eastAsia="Helvetica" w:hAnsi="Century Gothic" w:cs="Helvetica"/>
          <w:b/>
          <w:sz w:val="22"/>
          <w:szCs w:val="22"/>
        </w:rPr>
        <w:t>énero y protección reforzada.</w:t>
      </w:r>
      <w:r w:rsidRPr="00CD7B09">
        <w:rPr>
          <w:rFonts w:ascii="Century Gothic" w:eastAsia="Garamond" w:hAnsi="Century Gothic" w:cs="Garamond"/>
          <w:sz w:val="22"/>
          <w:szCs w:val="22"/>
        </w:rPr>
        <w:t xml:space="preserve"> En las actuaciones judiciales las autoridades promover</w:t>
      </w:r>
      <w:r w:rsidRPr="00CD7B09">
        <w:rPr>
          <w:rFonts w:ascii="Century Gothic" w:eastAsia="Helvetica" w:hAnsi="Century Gothic" w:cs="Helvetica"/>
          <w:sz w:val="22"/>
          <w:szCs w:val="22"/>
        </w:rPr>
        <w:t>án la participación especial de las mujeres rurales y demás sujetos de especial protección constituc</w:t>
      </w:r>
      <w:r w:rsidRPr="00CD7B09">
        <w:rPr>
          <w:rFonts w:ascii="Century Gothic" w:eastAsia="Garamond" w:hAnsi="Century Gothic" w:cs="Garamond"/>
          <w:sz w:val="22"/>
          <w:szCs w:val="22"/>
        </w:rPr>
        <w:t>ional en condici</w:t>
      </w:r>
      <w:r w:rsidRPr="00CD7B09">
        <w:rPr>
          <w:rFonts w:ascii="Century Gothic" w:eastAsia="Helvetica" w:hAnsi="Century Gothic" w:cs="Helvetica"/>
          <w:sz w:val="22"/>
          <w:szCs w:val="22"/>
        </w:rPr>
        <w:t>ón de vulnerabilidad, con el fin de contribuir a la transformación estructural de la realidad rural colombiana. Las autoridades judiciales deberán adoptar las medidas necesarias para generar condiciones que permitan la defensa efectiva de s</w:t>
      </w:r>
      <w:r w:rsidRPr="00CD7B09">
        <w:rPr>
          <w:rFonts w:ascii="Century Gothic" w:eastAsia="Garamond" w:hAnsi="Century Gothic" w:cs="Garamond"/>
          <w:sz w:val="22"/>
          <w:szCs w:val="22"/>
        </w:rPr>
        <w:t xml:space="preserve">us propios intereses a la parte afectada por condiciones de vulnerabilidad, a efecto de garantizar la igualdad y procesos justos. </w:t>
      </w:r>
    </w:p>
    <w:p w14:paraId="6F3E3105" w14:textId="77777777" w:rsidR="00CB1679" w:rsidRPr="00CD7B09" w:rsidRDefault="00CB1679" w:rsidP="00CB1679">
      <w:pPr>
        <w:widowControl w:val="0"/>
        <w:pBdr>
          <w:top w:val="nil"/>
          <w:left w:val="nil"/>
          <w:bottom w:val="nil"/>
          <w:right w:val="nil"/>
          <w:between w:val="nil"/>
        </w:pBdr>
        <w:ind w:right="49"/>
        <w:jc w:val="both"/>
        <w:rPr>
          <w:rFonts w:ascii="Century Gothic" w:eastAsia="Garamond" w:hAnsi="Century Gothic" w:cs="Garamond"/>
          <w:sz w:val="22"/>
          <w:szCs w:val="22"/>
        </w:rPr>
      </w:pPr>
    </w:p>
    <w:p w14:paraId="3FEB84A1" w14:textId="77777777" w:rsidR="00CB1679" w:rsidRPr="00CD7B09" w:rsidRDefault="00CB1679" w:rsidP="00CB1679">
      <w:pPr>
        <w:widowControl w:val="0"/>
        <w:pBdr>
          <w:top w:val="nil"/>
          <w:left w:val="nil"/>
          <w:bottom w:val="nil"/>
          <w:right w:val="nil"/>
          <w:between w:val="nil"/>
        </w:pBdr>
        <w:ind w:left="253" w:right="49"/>
        <w:jc w:val="both"/>
        <w:rPr>
          <w:rFonts w:ascii="Century Gothic" w:eastAsia="Garamond" w:hAnsi="Century Gothic" w:cs="Garamond"/>
          <w:sz w:val="22"/>
          <w:szCs w:val="22"/>
        </w:rPr>
      </w:pPr>
      <w:r w:rsidRPr="00CD7B09">
        <w:rPr>
          <w:rFonts w:ascii="Century Gothic" w:eastAsia="Garamond" w:hAnsi="Century Gothic" w:cs="Garamond"/>
          <w:sz w:val="22"/>
          <w:szCs w:val="22"/>
        </w:rPr>
        <w:t>Los estudiantes pertenecientes a los consultorios jur</w:t>
      </w:r>
      <w:r w:rsidRPr="00CD7B09">
        <w:rPr>
          <w:rFonts w:ascii="Century Gothic" w:eastAsia="Helvetica" w:hAnsi="Century Gothic" w:cs="Helvetica"/>
          <w:sz w:val="22"/>
          <w:szCs w:val="22"/>
        </w:rPr>
        <w:t xml:space="preserve">ídicos de las facultades de derecho de las universidades oficialmente </w:t>
      </w:r>
      <w:r w:rsidRPr="00CD7B09">
        <w:rPr>
          <w:rFonts w:ascii="Century Gothic" w:eastAsia="Garamond" w:hAnsi="Century Gothic" w:cs="Garamond"/>
          <w:sz w:val="22"/>
          <w:szCs w:val="22"/>
        </w:rPr>
        <w:t>reconocidas por el Estado apoyar</w:t>
      </w:r>
      <w:r w:rsidRPr="00CD7B09">
        <w:rPr>
          <w:rFonts w:ascii="Century Gothic" w:eastAsia="Helvetica" w:hAnsi="Century Gothic" w:cs="Helvetica"/>
          <w:sz w:val="22"/>
          <w:szCs w:val="22"/>
        </w:rPr>
        <w:t>án la representación de mujeres rurales y demás sujetos de especial protección constitucional en condición de vulnerabilidad establecidos en la Ley 2113 de 2021, en los asuntos previstos en esta ley y bajo la supervisión dir</w:t>
      </w:r>
      <w:r w:rsidRPr="00CD7B09">
        <w:rPr>
          <w:rFonts w:ascii="Century Gothic" w:eastAsia="Garamond" w:hAnsi="Century Gothic" w:cs="Garamond"/>
          <w:sz w:val="22"/>
          <w:szCs w:val="22"/>
        </w:rPr>
        <w:t>ecta en cada actuaci</w:t>
      </w:r>
      <w:r w:rsidRPr="00CD7B09">
        <w:rPr>
          <w:rFonts w:ascii="Century Gothic" w:eastAsia="Helvetica" w:hAnsi="Century Gothic" w:cs="Helvetica"/>
          <w:sz w:val="22"/>
          <w:szCs w:val="22"/>
        </w:rPr>
        <w:t>ón del personal académico que designe la respectiva universidad.</w:t>
      </w:r>
    </w:p>
    <w:p w14:paraId="494BD90C" w14:textId="77777777" w:rsidR="00CB1679" w:rsidRPr="00CD7B09" w:rsidRDefault="00CB1679" w:rsidP="00CB1679">
      <w:pPr>
        <w:widowControl w:val="0"/>
        <w:pBdr>
          <w:top w:val="nil"/>
          <w:left w:val="nil"/>
          <w:bottom w:val="nil"/>
          <w:right w:val="nil"/>
          <w:between w:val="nil"/>
        </w:pBdr>
        <w:ind w:right="49"/>
        <w:jc w:val="both"/>
        <w:rPr>
          <w:rFonts w:ascii="Century Gothic" w:eastAsia="Garamond" w:hAnsi="Century Gothic" w:cs="Garamond"/>
          <w:sz w:val="22"/>
          <w:szCs w:val="22"/>
        </w:rPr>
      </w:pPr>
    </w:p>
    <w:p w14:paraId="7DD282EA" w14:textId="77777777" w:rsidR="00CB1679" w:rsidRPr="00CD7B09" w:rsidRDefault="00CB1679" w:rsidP="00CB1679">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53" w:right="49"/>
        <w:jc w:val="both"/>
        <w:rPr>
          <w:rFonts w:ascii="Century Gothic" w:eastAsia="Garamond" w:hAnsi="Century Gothic" w:cs="Garamond"/>
          <w:sz w:val="22"/>
          <w:szCs w:val="22"/>
        </w:rPr>
      </w:pPr>
    </w:p>
    <w:p w14:paraId="0FF537E2" w14:textId="77777777" w:rsidR="00CB1679" w:rsidRPr="00CD7B09" w:rsidRDefault="00CB1679" w:rsidP="00CB1679">
      <w:pPr>
        <w:widowControl w:val="0"/>
        <w:numPr>
          <w:ilvl w:val="0"/>
          <w:numId w:val="12"/>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Mujeres rurales.</w:t>
      </w:r>
      <w:r w:rsidRPr="00CD7B09">
        <w:rPr>
          <w:rFonts w:ascii="Century Gothic" w:eastAsia="Garamond" w:hAnsi="Century Gothic" w:cs="Garamond"/>
          <w:sz w:val="22"/>
          <w:szCs w:val="22"/>
        </w:rPr>
        <w:t xml:space="preserve"> Las mujeres rurales, en los t</w:t>
      </w:r>
      <w:r w:rsidRPr="00CD7B09">
        <w:rPr>
          <w:rFonts w:ascii="Century Gothic" w:eastAsia="Helvetica" w:hAnsi="Century Gothic" w:cs="Helvetica"/>
          <w:sz w:val="22"/>
          <w:szCs w:val="22"/>
        </w:rPr>
        <w:t xml:space="preserve">érminos del artículo 2 de la Ley 731 de 2002, son todas aquellas que sin distingo de ninguna naturaleza e independientemente del lugar donde viva, su actividad productiva está relacionada directamente con lo rural, incluso si </w:t>
      </w:r>
      <w:r w:rsidRPr="00CD7B09">
        <w:rPr>
          <w:rFonts w:ascii="Century Gothic" w:eastAsia="Garamond" w:hAnsi="Century Gothic" w:cs="Garamond"/>
          <w:sz w:val="22"/>
          <w:szCs w:val="22"/>
        </w:rPr>
        <w:t>dicha actividad no es reconocida por los sistemas de informaci</w:t>
      </w:r>
      <w:r w:rsidRPr="00CD7B09">
        <w:rPr>
          <w:rFonts w:ascii="Century Gothic" w:eastAsia="Helvetica" w:hAnsi="Century Gothic" w:cs="Helvetica"/>
          <w:sz w:val="22"/>
          <w:szCs w:val="22"/>
        </w:rPr>
        <w:t>ón y medición del Estado o no es remunerada, como es el caso de la economía del cuidado, relacionada con el trabajo no remunerado que se realiza en el hogar. Del mismo modo, se reconocen como ag</w:t>
      </w:r>
      <w:r w:rsidRPr="00CD7B09">
        <w:rPr>
          <w:rFonts w:ascii="Century Gothic" w:eastAsia="Garamond" w:hAnsi="Century Gothic" w:cs="Garamond"/>
          <w:sz w:val="22"/>
          <w:szCs w:val="22"/>
        </w:rPr>
        <w:t>entes esenciales del desarrollo rural sostenible. El reconocimiento de sus derechos se har</w:t>
      </w:r>
      <w:r w:rsidRPr="00CD7B09">
        <w:rPr>
          <w:rFonts w:ascii="Century Gothic" w:eastAsia="Helvetica" w:hAnsi="Century Gothic" w:cs="Helvetica"/>
          <w:sz w:val="22"/>
          <w:szCs w:val="22"/>
        </w:rPr>
        <w:t>á teniendo en cuenta sus condiciones especiales, con independencia de la estructura de familia que conformen.</w:t>
      </w:r>
    </w:p>
    <w:p w14:paraId="4D6D89BB" w14:textId="77777777" w:rsidR="00CB1679" w:rsidRPr="00CD7B09" w:rsidRDefault="00CB1679" w:rsidP="00CB1679">
      <w:pPr>
        <w:ind w:right="49"/>
        <w:jc w:val="both"/>
        <w:rPr>
          <w:rFonts w:ascii="Century Gothic" w:eastAsia="Garamond" w:hAnsi="Century Gothic" w:cs="Garamond"/>
          <w:sz w:val="22"/>
          <w:szCs w:val="22"/>
        </w:rPr>
      </w:pPr>
    </w:p>
    <w:p w14:paraId="7E49A059" w14:textId="77777777" w:rsidR="00CB1679" w:rsidRPr="00CD7B09" w:rsidRDefault="00CB1679" w:rsidP="00CB1679">
      <w:pPr>
        <w:ind w:left="284"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Especialidad Judicial Agraria contemplar</w:t>
      </w:r>
      <w:r w:rsidRPr="00CD7B09">
        <w:rPr>
          <w:rFonts w:ascii="Century Gothic" w:eastAsia="Helvetica" w:hAnsi="Century Gothic" w:cs="Helvetica"/>
          <w:sz w:val="22"/>
          <w:szCs w:val="22"/>
        </w:rPr>
        <w:t>á mecanismos que garanticen el acceso ágil, gratuito y oportuno a la justicia por parte de las mujeres rurales, de igual forma dispondrá de asesoría legal y formación especial para que las mujeres superen las barr</w:t>
      </w:r>
      <w:r w:rsidRPr="00CD7B09">
        <w:rPr>
          <w:rFonts w:ascii="Century Gothic" w:eastAsia="Garamond" w:hAnsi="Century Gothic" w:cs="Garamond"/>
          <w:sz w:val="22"/>
          <w:szCs w:val="22"/>
        </w:rPr>
        <w:t>eras que dificultan la asignaci</w:t>
      </w:r>
      <w:r w:rsidRPr="00CD7B09">
        <w:rPr>
          <w:rFonts w:ascii="Century Gothic" w:eastAsia="Helvetica" w:hAnsi="Century Gothic" w:cs="Helvetica"/>
          <w:sz w:val="22"/>
          <w:szCs w:val="22"/>
        </w:rPr>
        <w:t>ón, reconocimiento y la protección de sus derechos sobre la tierra. Se promoverá la participación de las mujeres y sus organizaciones en los diferentes espacios que se creen para la resolución de conflictos sobre uso, control</w:t>
      </w:r>
      <w:r w:rsidRPr="00CD7B09">
        <w:rPr>
          <w:rFonts w:ascii="Century Gothic" w:eastAsia="Garamond" w:hAnsi="Century Gothic" w:cs="Garamond"/>
          <w:sz w:val="22"/>
          <w:szCs w:val="22"/>
        </w:rPr>
        <w:t xml:space="preserve"> y tenencia de la tierra.</w:t>
      </w:r>
    </w:p>
    <w:p w14:paraId="6999793B" w14:textId="77777777" w:rsidR="00CB1679" w:rsidRPr="00CD7B09" w:rsidRDefault="00CB1679" w:rsidP="00CB1679">
      <w:pPr>
        <w:ind w:left="284" w:right="49"/>
        <w:jc w:val="both"/>
        <w:rPr>
          <w:rFonts w:ascii="Century Gothic" w:eastAsia="Garamond" w:hAnsi="Century Gothic" w:cs="Garamond"/>
          <w:sz w:val="22"/>
          <w:szCs w:val="22"/>
        </w:rPr>
      </w:pPr>
    </w:p>
    <w:p w14:paraId="3FCCB2DC" w14:textId="77777777" w:rsidR="00CB1679" w:rsidRPr="00CD7B09" w:rsidRDefault="00CB1679" w:rsidP="00CB1679">
      <w:pPr>
        <w:ind w:left="284" w:right="49"/>
        <w:jc w:val="both"/>
        <w:rPr>
          <w:rFonts w:ascii="Century Gothic" w:eastAsia="Garamond" w:hAnsi="Century Gothic" w:cs="Garamond"/>
          <w:sz w:val="22"/>
          <w:szCs w:val="22"/>
        </w:rPr>
      </w:pPr>
      <w:r w:rsidRPr="00CD7B09">
        <w:rPr>
          <w:rFonts w:ascii="Century Gothic" w:eastAsia="Garamond" w:hAnsi="Century Gothic" w:cs="Garamond"/>
          <w:sz w:val="22"/>
          <w:szCs w:val="22"/>
        </w:rPr>
        <w:t>En el proceso del que trata esta ley y a solicitud de la mujer rural, las organizaciones o asociaciones de mujeres podr</w:t>
      </w:r>
      <w:r w:rsidRPr="00CD7B09">
        <w:rPr>
          <w:rFonts w:ascii="Century Gothic" w:eastAsia="Helvetica" w:hAnsi="Century Gothic" w:cs="Helvetica"/>
          <w:sz w:val="22"/>
          <w:szCs w:val="22"/>
        </w:rPr>
        <w:t>án ejercer asesoría y acompañamiento. En el caso de ejercer representación legal, las organizaciones y asociac</w:t>
      </w:r>
      <w:r w:rsidRPr="00CD7B09">
        <w:rPr>
          <w:rFonts w:ascii="Century Gothic" w:eastAsia="Garamond" w:hAnsi="Century Gothic" w:cs="Garamond"/>
          <w:sz w:val="22"/>
          <w:szCs w:val="22"/>
        </w:rPr>
        <w:t>iones deber</w:t>
      </w:r>
      <w:r w:rsidRPr="00CD7B09">
        <w:rPr>
          <w:rFonts w:ascii="Century Gothic" w:eastAsia="Helvetica" w:hAnsi="Century Gothic" w:cs="Helvetica"/>
          <w:sz w:val="22"/>
          <w:szCs w:val="22"/>
        </w:rPr>
        <w:t>án contar con poder debidamente otorgado, en los términos del artículo 51 de esta Ley.</w:t>
      </w:r>
    </w:p>
    <w:p w14:paraId="2AF68760" w14:textId="77777777" w:rsidR="00CB1679" w:rsidRPr="00CD7B09" w:rsidRDefault="00CB1679" w:rsidP="00CB1679">
      <w:pPr>
        <w:widowControl w:val="0"/>
        <w:pBdr>
          <w:top w:val="nil"/>
          <w:left w:val="nil"/>
          <w:bottom w:val="nil"/>
          <w:right w:val="nil"/>
          <w:between w:val="nil"/>
        </w:pBdr>
        <w:ind w:left="253" w:right="49"/>
        <w:jc w:val="both"/>
        <w:rPr>
          <w:rFonts w:ascii="Century Gothic" w:eastAsia="Garamond" w:hAnsi="Century Gothic" w:cs="Garamond"/>
          <w:b/>
          <w:sz w:val="22"/>
          <w:szCs w:val="22"/>
        </w:rPr>
      </w:pPr>
    </w:p>
    <w:p w14:paraId="4EB44577" w14:textId="77777777" w:rsidR="00CB1679" w:rsidRPr="00CD7B09" w:rsidRDefault="00CB1679" w:rsidP="00CB1679">
      <w:pPr>
        <w:widowControl w:val="0"/>
        <w:numPr>
          <w:ilvl w:val="0"/>
          <w:numId w:val="12"/>
        </w:numPr>
        <w:pBdr>
          <w:top w:val="nil"/>
          <w:left w:val="nil"/>
          <w:bottom w:val="nil"/>
          <w:right w:val="nil"/>
          <w:between w:val="nil"/>
        </w:pBdr>
        <w:tabs>
          <w:tab w:val="left" w:pos="426"/>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Oficiosidad:</w:t>
      </w:r>
      <w:r w:rsidRPr="00CD7B09">
        <w:rPr>
          <w:rFonts w:ascii="Century Gothic" w:eastAsia="Garamond" w:hAnsi="Century Gothic" w:cs="Garamond"/>
          <w:sz w:val="22"/>
          <w:szCs w:val="22"/>
        </w:rPr>
        <w:t xml:space="preserve"> Las autoridades judiciales impulsar</w:t>
      </w:r>
      <w:r w:rsidRPr="00CD7B09">
        <w:rPr>
          <w:rFonts w:ascii="Century Gothic" w:eastAsia="Helvetica" w:hAnsi="Century Gothic" w:cs="Helvetica"/>
          <w:sz w:val="22"/>
          <w:szCs w:val="22"/>
        </w:rPr>
        <w:t>án oficiosamente el proceso judicial agrario y rural</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lo anterior sin perjuicio de las cargas procesales que por ley le correspondan a las partes e intervinientes.</w:t>
      </w:r>
    </w:p>
    <w:p w14:paraId="74D9CD07" w14:textId="77777777" w:rsidR="00CB1679" w:rsidRPr="00CD7B09" w:rsidRDefault="00CB1679" w:rsidP="00CB1679">
      <w:pPr>
        <w:widowControl w:val="0"/>
        <w:pBdr>
          <w:top w:val="nil"/>
          <w:left w:val="nil"/>
          <w:bottom w:val="nil"/>
          <w:right w:val="nil"/>
          <w:between w:val="nil"/>
        </w:pBdr>
        <w:ind w:right="49"/>
        <w:jc w:val="both"/>
        <w:rPr>
          <w:rFonts w:ascii="Century Gothic" w:eastAsia="Garamond" w:hAnsi="Century Gothic" w:cs="Garamond"/>
          <w:sz w:val="22"/>
          <w:szCs w:val="22"/>
        </w:rPr>
      </w:pPr>
    </w:p>
    <w:p w14:paraId="629B8DD6" w14:textId="77777777" w:rsidR="00CB1679" w:rsidRPr="00CD7B09" w:rsidRDefault="00CB1679" w:rsidP="00CB1679">
      <w:pPr>
        <w:widowControl w:val="0"/>
        <w:numPr>
          <w:ilvl w:val="0"/>
          <w:numId w:val="12"/>
        </w:numPr>
        <w:pBdr>
          <w:top w:val="nil"/>
          <w:left w:val="nil"/>
          <w:bottom w:val="nil"/>
          <w:right w:val="nil"/>
          <w:between w:val="nil"/>
        </w:pBdr>
        <w:tabs>
          <w:tab w:val="left" w:pos="426"/>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Publicidad y nuevas tecnolog</w:t>
      </w:r>
      <w:r w:rsidRPr="00CD7B09">
        <w:rPr>
          <w:rFonts w:ascii="Century Gothic" w:eastAsia="Helvetica" w:hAnsi="Century Gothic" w:cs="Helvetica"/>
          <w:b/>
          <w:sz w:val="22"/>
          <w:szCs w:val="22"/>
        </w:rPr>
        <w:t xml:space="preserve">ías: </w:t>
      </w:r>
      <w:r w:rsidRPr="00CD7B09">
        <w:rPr>
          <w:rFonts w:ascii="Century Gothic" w:eastAsia="Garamond" w:hAnsi="Century Gothic" w:cs="Garamond"/>
          <w:sz w:val="22"/>
          <w:szCs w:val="22"/>
        </w:rPr>
        <w:t>Las autoridades judiciales deber</w:t>
      </w:r>
      <w:r w:rsidRPr="00CD7B09">
        <w:rPr>
          <w:rFonts w:ascii="Century Gothic" w:eastAsia="Helvetica" w:hAnsi="Century Gothic" w:cs="Helvetica"/>
          <w:sz w:val="22"/>
          <w:szCs w:val="22"/>
        </w:rPr>
        <w:t xml:space="preserve">án promover mecanismos de publicidad eficaces, que faciliten la participación comunitaria, garanticen el conocimiento oportuno del </w:t>
      </w:r>
      <w:r w:rsidRPr="00CD7B09">
        <w:rPr>
          <w:rFonts w:ascii="Century Gothic" w:eastAsia="Garamond" w:hAnsi="Century Gothic" w:cs="Garamond"/>
          <w:sz w:val="22"/>
          <w:szCs w:val="22"/>
        </w:rPr>
        <w:t>inicio, desarrollo y terminaci</w:t>
      </w:r>
      <w:r w:rsidRPr="00CD7B09">
        <w:rPr>
          <w:rFonts w:ascii="Century Gothic" w:eastAsia="Helvetica" w:hAnsi="Century Gothic" w:cs="Helvetica"/>
          <w:sz w:val="22"/>
          <w:szCs w:val="22"/>
        </w:rPr>
        <w:t xml:space="preserve">ón del proceso, de las instancias en que se puede participar, de los recursos judiciales a disposición, de la posibilidad de presentar pruebas, así como de las decisiones y la posibilidad efectiva de contradicción y ejercicio </w:t>
      </w:r>
      <w:r w:rsidRPr="00CD7B09">
        <w:rPr>
          <w:rFonts w:ascii="Century Gothic" w:eastAsia="Garamond" w:hAnsi="Century Gothic" w:cs="Garamond"/>
          <w:sz w:val="22"/>
          <w:szCs w:val="22"/>
        </w:rPr>
        <w:t>de los derechos. Para tal fin se promover</w:t>
      </w:r>
      <w:r w:rsidRPr="00CD7B09">
        <w:rPr>
          <w:rFonts w:ascii="Century Gothic" w:eastAsia="Helvetica" w:hAnsi="Century Gothic" w:cs="Helvetica"/>
          <w:sz w:val="22"/>
          <w:szCs w:val="22"/>
        </w:rPr>
        <w:t>á el uso de las nuevas tecnologías de la información y las comunicaciones.</w:t>
      </w:r>
    </w:p>
    <w:p w14:paraId="049D342C" w14:textId="77777777" w:rsidR="00CB1679" w:rsidRPr="00CD7B09" w:rsidRDefault="00CB1679" w:rsidP="00CB1679">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Century Gothic" w:eastAsia="Garamond" w:hAnsi="Century Gothic" w:cs="Garamond"/>
          <w:sz w:val="22"/>
          <w:szCs w:val="22"/>
        </w:rPr>
      </w:pPr>
    </w:p>
    <w:p w14:paraId="1DE71EE7" w14:textId="77777777" w:rsidR="00CB1679" w:rsidRPr="00CD7B09" w:rsidRDefault="00CB1679" w:rsidP="00CB1679">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83" w:right="49"/>
        <w:jc w:val="both"/>
        <w:rPr>
          <w:rFonts w:ascii="Century Gothic" w:eastAsia="Garamond" w:hAnsi="Century Gothic" w:cs="Garamond"/>
          <w:sz w:val="22"/>
          <w:szCs w:val="22"/>
        </w:rPr>
      </w:pPr>
      <w:r w:rsidRPr="00CD7B09">
        <w:rPr>
          <w:rFonts w:ascii="Century Gothic" w:eastAsia="Garamond" w:hAnsi="Century Gothic" w:cs="Garamond"/>
          <w:sz w:val="22"/>
          <w:szCs w:val="22"/>
        </w:rPr>
        <w:t>En todo caso, las comunicaciones y notificaciones</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se har</w:t>
      </w:r>
      <w:r w:rsidRPr="00CD7B09">
        <w:rPr>
          <w:rFonts w:ascii="Century Gothic" w:eastAsia="Helvetica" w:hAnsi="Century Gothic" w:cs="Helvetica"/>
          <w:sz w:val="22"/>
          <w:szCs w:val="22"/>
        </w:rPr>
        <w:t xml:space="preserve">án por escrito, por medio electrónico o por cualquier medio idóneo para garantizar </w:t>
      </w:r>
      <w:r w:rsidRPr="00CD7B09">
        <w:rPr>
          <w:rFonts w:ascii="Century Gothic" w:eastAsia="Garamond" w:hAnsi="Century Gothic" w:cs="Garamond"/>
          <w:sz w:val="22"/>
          <w:szCs w:val="22"/>
        </w:rPr>
        <w:t>el acceso efectivo a la informaci</w:t>
      </w:r>
      <w:r w:rsidRPr="00CD7B09">
        <w:rPr>
          <w:rFonts w:ascii="Century Gothic" w:eastAsia="Helvetica" w:hAnsi="Century Gothic" w:cs="Helvetica"/>
          <w:sz w:val="22"/>
          <w:szCs w:val="22"/>
        </w:rPr>
        <w:t>ón y a la justicia en todas las zonas del territorio nacional, y el funcionario deberá dejar constancia o registro de ellas en el despacho.</w:t>
      </w:r>
    </w:p>
    <w:p w14:paraId="4699501F" w14:textId="77777777" w:rsidR="00CB1679" w:rsidRPr="00CD7B09" w:rsidRDefault="00CB1679" w:rsidP="00CB1679">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83" w:right="49"/>
        <w:jc w:val="both"/>
        <w:rPr>
          <w:rFonts w:ascii="Century Gothic" w:eastAsia="Garamond" w:hAnsi="Century Gothic" w:cs="Garamond"/>
          <w:sz w:val="22"/>
          <w:szCs w:val="22"/>
        </w:rPr>
      </w:pPr>
    </w:p>
    <w:p w14:paraId="02A384B1" w14:textId="77777777" w:rsidR="00CB1679" w:rsidRPr="00CD7B09" w:rsidRDefault="00CB1679" w:rsidP="00CB1679">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83" w:right="49"/>
        <w:jc w:val="both"/>
        <w:rPr>
          <w:rFonts w:ascii="Century Gothic" w:eastAsia="Garamond" w:hAnsi="Century Gothic" w:cs="Garamond"/>
          <w:sz w:val="22"/>
          <w:szCs w:val="22"/>
        </w:rPr>
      </w:pPr>
      <w:r w:rsidRPr="00CD7B09">
        <w:rPr>
          <w:rFonts w:ascii="Century Gothic" w:eastAsia="Garamond" w:hAnsi="Century Gothic" w:cs="Garamond"/>
          <w:sz w:val="22"/>
          <w:szCs w:val="22"/>
        </w:rPr>
        <w:t>As</w:t>
      </w:r>
      <w:r w:rsidRPr="00CD7B09">
        <w:rPr>
          <w:rFonts w:ascii="Century Gothic" w:eastAsia="Helvetica" w:hAnsi="Century Gothic" w:cs="Helvetica"/>
          <w:sz w:val="22"/>
          <w:szCs w:val="22"/>
        </w:rPr>
        <w:t xml:space="preserve">í mismo, se deberán establecer los mecanismos de consulta ágil y oportuna de la </w:t>
      </w:r>
      <w:r w:rsidRPr="00CD7B09">
        <w:rPr>
          <w:rFonts w:ascii="Century Gothic" w:eastAsia="Garamond" w:hAnsi="Century Gothic" w:cs="Garamond"/>
          <w:sz w:val="22"/>
          <w:szCs w:val="22"/>
        </w:rPr>
        <w:t>informaci</w:t>
      </w:r>
      <w:r w:rsidRPr="00CD7B09">
        <w:rPr>
          <w:rFonts w:ascii="Century Gothic" w:eastAsia="Helvetica" w:hAnsi="Century Gothic" w:cs="Helvetica"/>
          <w:sz w:val="22"/>
          <w:szCs w:val="22"/>
        </w:rPr>
        <w:t>ón generada por las diferentes entidades públicas, por parte del juez. En la planificación e implementación de esta estrategia de información se deberán incluir los mecanismos ya existentes.</w:t>
      </w:r>
    </w:p>
    <w:p w14:paraId="56261C1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84" w:right="49"/>
        <w:jc w:val="both"/>
        <w:rPr>
          <w:rFonts w:ascii="Century Gothic" w:eastAsia="Garamond" w:hAnsi="Century Gothic" w:cs="Garamond"/>
          <w:sz w:val="22"/>
          <w:szCs w:val="22"/>
        </w:rPr>
      </w:pPr>
    </w:p>
    <w:p w14:paraId="0F109B7E" w14:textId="77777777" w:rsidR="00CB1679" w:rsidRPr="00CD7B09" w:rsidRDefault="00CB1679" w:rsidP="00CB1679">
      <w:pPr>
        <w:widowControl w:val="0"/>
        <w:numPr>
          <w:ilvl w:val="0"/>
          <w:numId w:val="12"/>
        </w:numPr>
        <w:pBdr>
          <w:top w:val="nil"/>
          <w:left w:val="nil"/>
          <w:bottom w:val="nil"/>
          <w:right w:val="nil"/>
          <w:between w:val="nil"/>
        </w:pBdr>
        <w:tabs>
          <w:tab w:val="left" w:pos="426"/>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Uso prevalente y necesario de mecanismos alternativos de soluci</w:t>
      </w:r>
      <w:r w:rsidRPr="00CD7B09">
        <w:rPr>
          <w:rFonts w:ascii="Century Gothic" w:eastAsia="Helvetica" w:hAnsi="Century Gothic" w:cs="Helvetica"/>
          <w:b/>
          <w:sz w:val="22"/>
          <w:szCs w:val="22"/>
        </w:rPr>
        <w:t>ón de conflictos y participación comunitaria rural:</w:t>
      </w:r>
      <w:r w:rsidRPr="00CD7B09">
        <w:rPr>
          <w:rFonts w:ascii="Century Gothic" w:eastAsia="Garamond" w:hAnsi="Century Gothic" w:cs="Garamond"/>
          <w:sz w:val="22"/>
          <w:szCs w:val="22"/>
        </w:rPr>
        <w:t xml:space="preserve"> Las autoridades responsables velar</w:t>
      </w:r>
      <w:r w:rsidRPr="00CD7B09">
        <w:rPr>
          <w:rFonts w:ascii="Century Gothic" w:eastAsia="Helvetica" w:hAnsi="Century Gothic" w:cs="Helvetica"/>
          <w:sz w:val="22"/>
          <w:szCs w:val="22"/>
        </w:rPr>
        <w:t>án por el uso prevalente de los mecanismos alternativos de solución de conflictos, para éste propósito el despacho del juez agrario y rural contará con un concil</w:t>
      </w:r>
      <w:r w:rsidRPr="00CD7B09">
        <w:rPr>
          <w:rFonts w:ascii="Century Gothic" w:eastAsia="Garamond" w:hAnsi="Century Gothic" w:cs="Garamond"/>
          <w:sz w:val="22"/>
          <w:szCs w:val="22"/>
        </w:rPr>
        <w:t>iador en derecho adjunto al Despacho, adicionalmente, la jurisdicci</w:t>
      </w:r>
      <w:r w:rsidRPr="00CD7B09">
        <w:rPr>
          <w:rFonts w:ascii="Century Gothic" w:eastAsia="Helvetica" w:hAnsi="Century Gothic" w:cs="Helvetica"/>
          <w:sz w:val="22"/>
          <w:szCs w:val="22"/>
        </w:rPr>
        <w:t>ón priorizará el uso de mecanismos alternativos de solución de conflictos en diferendos propios de la tenencia y uso de la tierra que sean objeto de conciliación, para lo cual también apoya</w:t>
      </w:r>
      <w:r w:rsidRPr="00CD7B09">
        <w:rPr>
          <w:rFonts w:ascii="Century Gothic" w:eastAsia="Garamond" w:hAnsi="Century Gothic" w:cs="Garamond"/>
          <w:sz w:val="22"/>
          <w:szCs w:val="22"/>
        </w:rPr>
        <w:t>r</w:t>
      </w:r>
      <w:r w:rsidRPr="00CD7B09">
        <w:rPr>
          <w:rFonts w:ascii="Century Gothic" w:eastAsia="Helvetica" w:hAnsi="Century Gothic" w:cs="Helvetica"/>
          <w:sz w:val="22"/>
          <w:szCs w:val="22"/>
        </w:rPr>
        <w:t xml:space="preserve">á la suscripción de acuerdos de conciliación en casos de diferencias de colindancias. Al adelantar estos procedimientos se tendrá en cuenta el derecho propio de los pueblos y comunidades. </w:t>
      </w:r>
    </w:p>
    <w:p w14:paraId="0B29E1EE" w14:textId="77777777" w:rsidR="00CB1679" w:rsidRPr="00CD7B09" w:rsidRDefault="00CB1679" w:rsidP="00CB1679">
      <w:pPr>
        <w:widowControl w:val="0"/>
        <w:pBdr>
          <w:top w:val="nil"/>
          <w:left w:val="nil"/>
          <w:bottom w:val="nil"/>
          <w:right w:val="nil"/>
          <w:between w:val="nil"/>
        </w:pBdr>
        <w:tabs>
          <w:tab w:val="left" w:pos="426"/>
        </w:tabs>
        <w:ind w:left="253" w:right="49"/>
        <w:jc w:val="both"/>
        <w:rPr>
          <w:rFonts w:ascii="Century Gothic" w:eastAsia="Garamond" w:hAnsi="Century Gothic" w:cs="Garamond"/>
          <w:sz w:val="22"/>
          <w:szCs w:val="22"/>
        </w:rPr>
      </w:pPr>
    </w:p>
    <w:p w14:paraId="60CD20EE" w14:textId="77777777" w:rsidR="00CB1679" w:rsidRPr="00CD7B09" w:rsidRDefault="00CB1679" w:rsidP="00CB1679">
      <w:pPr>
        <w:widowControl w:val="0"/>
        <w:pBdr>
          <w:top w:val="nil"/>
          <w:left w:val="nil"/>
          <w:bottom w:val="nil"/>
          <w:right w:val="nil"/>
          <w:between w:val="nil"/>
        </w:pBdr>
        <w:tabs>
          <w:tab w:val="left" w:pos="426"/>
        </w:tabs>
        <w:ind w:left="253" w:right="49"/>
        <w:jc w:val="both"/>
        <w:rPr>
          <w:rFonts w:ascii="Century Gothic" w:eastAsia="Garamond" w:hAnsi="Century Gothic" w:cs="Garamond"/>
          <w:sz w:val="22"/>
          <w:szCs w:val="22"/>
        </w:rPr>
      </w:pPr>
      <w:r w:rsidRPr="00CD7B09">
        <w:rPr>
          <w:rFonts w:ascii="Century Gothic" w:eastAsia="Garamond" w:hAnsi="Century Gothic" w:cs="Garamond"/>
          <w:sz w:val="22"/>
          <w:szCs w:val="22"/>
        </w:rPr>
        <w:t>El acta de conciliaci</w:t>
      </w:r>
      <w:r w:rsidRPr="00CD7B09">
        <w:rPr>
          <w:rFonts w:ascii="Century Gothic" w:eastAsia="Helvetica" w:hAnsi="Century Gothic" w:cs="Helvetica"/>
          <w:sz w:val="22"/>
          <w:szCs w:val="22"/>
        </w:rPr>
        <w:t>ón prestará mérito ejecutivo de las obligaci</w:t>
      </w:r>
      <w:r w:rsidRPr="00CD7B09">
        <w:rPr>
          <w:rFonts w:ascii="Century Gothic" w:eastAsia="Garamond" w:hAnsi="Century Gothic" w:cs="Garamond"/>
          <w:sz w:val="22"/>
          <w:szCs w:val="22"/>
        </w:rPr>
        <w:t>ones de dar o hacer que sean contra</w:t>
      </w:r>
      <w:r w:rsidRPr="00CD7B09">
        <w:rPr>
          <w:rFonts w:ascii="Century Gothic" w:eastAsia="Helvetica" w:hAnsi="Century Gothic" w:cs="Helvetica"/>
          <w:sz w:val="22"/>
          <w:szCs w:val="22"/>
        </w:rPr>
        <w:t>ídas con ocasión del acuerdo y hará tránsito a cosa juzgada para lo cual deberá ser susceptible de inscripción en el registro público inmobiliario siempre que medie la voluntad libre de quienes suscriban. El registro de l</w:t>
      </w:r>
      <w:r w:rsidRPr="00CD7B09">
        <w:rPr>
          <w:rFonts w:ascii="Century Gothic" w:eastAsia="Garamond" w:hAnsi="Century Gothic" w:cs="Garamond"/>
          <w:sz w:val="22"/>
          <w:szCs w:val="22"/>
        </w:rPr>
        <w:t>as actas de conciliaci</w:t>
      </w:r>
      <w:r w:rsidRPr="00CD7B09">
        <w:rPr>
          <w:rFonts w:ascii="Century Gothic" w:eastAsia="Helvetica" w:hAnsi="Century Gothic" w:cs="Helvetica"/>
          <w:sz w:val="22"/>
          <w:szCs w:val="22"/>
        </w:rPr>
        <w:t>ón que versen sobre derechos de inmuebles rurales no tendrá costo alguno en la oficina de registro de instrumentos públicos, siempre que las partes hayan invocado el amparo de pobreza en el marco del proceso o que el conciliador de fe</w:t>
      </w:r>
      <w:r w:rsidRPr="00CD7B09">
        <w:rPr>
          <w:rFonts w:ascii="Century Gothic" w:eastAsia="Garamond" w:hAnsi="Century Gothic" w:cs="Garamond"/>
          <w:sz w:val="22"/>
          <w:szCs w:val="22"/>
        </w:rPr>
        <w:t xml:space="preserve"> de su condici</w:t>
      </w:r>
      <w:r w:rsidRPr="00CD7B09">
        <w:rPr>
          <w:rFonts w:ascii="Century Gothic" w:eastAsia="Helvetica" w:hAnsi="Century Gothic" w:cs="Helvetica"/>
          <w:sz w:val="22"/>
          <w:szCs w:val="22"/>
        </w:rPr>
        <w:t>ón de vulnerabilidad.</w:t>
      </w:r>
    </w:p>
    <w:p w14:paraId="38753084" w14:textId="77777777" w:rsidR="00CB1679" w:rsidRPr="00CD7B09" w:rsidRDefault="00CB1679" w:rsidP="00CB1679">
      <w:pPr>
        <w:widowControl w:val="0"/>
        <w:pBdr>
          <w:top w:val="nil"/>
          <w:left w:val="nil"/>
          <w:bottom w:val="nil"/>
          <w:right w:val="nil"/>
          <w:between w:val="nil"/>
        </w:pBdr>
        <w:tabs>
          <w:tab w:val="left" w:pos="426"/>
        </w:tabs>
        <w:ind w:left="253" w:right="49"/>
        <w:jc w:val="both"/>
        <w:rPr>
          <w:rFonts w:ascii="Century Gothic" w:eastAsia="Garamond" w:hAnsi="Century Gothic" w:cs="Garamond"/>
          <w:sz w:val="22"/>
          <w:szCs w:val="22"/>
        </w:rPr>
      </w:pPr>
    </w:p>
    <w:p w14:paraId="02D2FA92" w14:textId="77777777" w:rsidR="00CB1679" w:rsidRPr="00CD7B09" w:rsidRDefault="00CB1679" w:rsidP="00CB1679">
      <w:pPr>
        <w:widowControl w:val="0"/>
        <w:numPr>
          <w:ilvl w:val="0"/>
          <w:numId w:val="12"/>
        </w:numPr>
        <w:pBdr>
          <w:top w:val="nil"/>
          <w:left w:val="nil"/>
          <w:bottom w:val="nil"/>
          <w:right w:val="nil"/>
          <w:between w:val="nil"/>
        </w:pBdr>
        <w:tabs>
          <w:tab w:val="left" w:pos="426"/>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Colaboraci</w:t>
      </w:r>
      <w:r w:rsidRPr="00CD7B09">
        <w:rPr>
          <w:rFonts w:ascii="Century Gothic" w:eastAsia="Helvetica" w:hAnsi="Century Gothic" w:cs="Helvetica"/>
          <w:b/>
          <w:sz w:val="22"/>
          <w:szCs w:val="22"/>
        </w:rPr>
        <w:t>ón armónica.</w:t>
      </w:r>
      <w:r w:rsidRPr="00CD7B09">
        <w:rPr>
          <w:rFonts w:ascii="Century Gothic" w:eastAsia="Garamond" w:hAnsi="Century Gothic" w:cs="Garamond"/>
          <w:sz w:val="22"/>
          <w:szCs w:val="22"/>
        </w:rPr>
        <w:t xml:space="preserve"> Las entidades del Estado y dem</w:t>
      </w:r>
      <w:r w:rsidRPr="00CD7B09">
        <w:rPr>
          <w:rFonts w:ascii="Century Gothic" w:eastAsia="Helvetica" w:hAnsi="Century Gothic" w:cs="Helvetica"/>
          <w:sz w:val="22"/>
          <w:szCs w:val="22"/>
        </w:rPr>
        <w:t>ás autoridades nacionales y territoriales están obligadas a prestar su colaboración y apoyo para la efectiva administración de la justicia especial agraria en el país</w:t>
      </w:r>
      <w:r w:rsidRPr="00CD7B09">
        <w:rPr>
          <w:rFonts w:ascii="Century Gothic" w:eastAsia="Garamond" w:hAnsi="Century Gothic" w:cs="Garamond"/>
          <w:sz w:val="22"/>
          <w:szCs w:val="22"/>
        </w:rPr>
        <w:t>, por lo cual deber</w:t>
      </w:r>
      <w:r w:rsidRPr="00CD7B09">
        <w:rPr>
          <w:rFonts w:ascii="Century Gothic" w:eastAsia="Helvetica" w:hAnsi="Century Gothic" w:cs="Helvetica"/>
          <w:sz w:val="22"/>
          <w:szCs w:val="22"/>
        </w:rPr>
        <w:t>án trabajar de manera armónica y articulada para el cumplimiento de los fines previstos en la presente Ley.</w:t>
      </w:r>
    </w:p>
    <w:p w14:paraId="72E3528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15E12A29" w14:textId="77777777" w:rsidR="00CB1679" w:rsidRPr="00CD7B09" w:rsidRDefault="00CB1679" w:rsidP="00CB1679">
      <w:pPr>
        <w:widowControl w:val="0"/>
        <w:numPr>
          <w:ilvl w:val="0"/>
          <w:numId w:val="12"/>
        </w:numPr>
        <w:pBdr>
          <w:top w:val="nil"/>
          <w:left w:val="nil"/>
          <w:bottom w:val="nil"/>
          <w:right w:val="nil"/>
          <w:between w:val="nil"/>
        </w:pBdr>
        <w:tabs>
          <w:tab w:val="left" w:pos="426"/>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Gratuidad. </w:t>
      </w:r>
      <w:r w:rsidRPr="00CD7B09">
        <w:rPr>
          <w:rFonts w:ascii="Century Gothic" w:eastAsia="Garamond" w:hAnsi="Century Gothic" w:cs="Garamond"/>
          <w:sz w:val="22"/>
          <w:szCs w:val="22"/>
        </w:rPr>
        <w:t>Se garantizar</w:t>
      </w:r>
      <w:r w:rsidRPr="00CD7B09">
        <w:rPr>
          <w:rFonts w:ascii="Century Gothic" w:eastAsia="Helvetica" w:hAnsi="Century Gothic" w:cs="Helvetica"/>
          <w:sz w:val="22"/>
          <w:szCs w:val="22"/>
        </w:rPr>
        <w:t>á la gratuidad, incluyendo la exención del arancel judicial a que se refiere la Ley 1394 de 2010, cuando</w:t>
      </w:r>
      <w:r w:rsidRPr="00CD7B09">
        <w:rPr>
          <w:rFonts w:ascii="Century Gothic" w:eastAsia="Garamond" w:hAnsi="Century Gothic" w:cs="Garamond"/>
          <w:sz w:val="22"/>
          <w:szCs w:val="22"/>
        </w:rPr>
        <w:t xml:space="preserve"> se trate de personas de escasos recursos, en los t</w:t>
      </w:r>
      <w:r w:rsidRPr="00CD7B09">
        <w:rPr>
          <w:rFonts w:ascii="Century Gothic" w:eastAsia="Helvetica" w:hAnsi="Century Gothic" w:cs="Helvetica"/>
          <w:sz w:val="22"/>
          <w:szCs w:val="22"/>
        </w:rPr>
        <w:t>érminos del artículo 6 de la Ley Estatutaria de Administración de Justicia.</w:t>
      </w:r>
    </w:p>
    <w:p w14:paraId="7A1B24B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933" w:right="49" w:hanging="360"/>
        <w:jc w:val="both"/>
        <w:rPr>
          <w:rFonts w:ascii="Century Gothic" w:eastAsia="Garamond" w:hAnsi="Century Gothic" w:cs="Garamond"/>
          <w:sz w:val="22"/>
          <w:szCs w:val="22"/>
        </w:rPr>
      </w:pPr>
    </w:p>
    <w:p w14:paraId="7E5C2E55" w14:textId="77777777" w:rsidR="00CB1679" w:rsidRPr="00CD7B09" w:rsidRDefault="00CB1679" w:rsidP="00CB1679">
      <w:pPr>
        <w:widowControl w:val="0"/>
        <w:numPr>
          <w:ilvl w:val="0"/>
          <w:numId w:val="12"/>
        </w:numPr>
        <w:pBdr>
          <w:top w:val="nil"/>
          <w:left w:val="nil"/>
          <w:bottom w:val="nil"/>
          <w:right w:val="nil"/>
          <w:between w:val="nil"/>
        </w:pBdr>
        <w:tabs>
          <w:tab w:val="left" w:pos="426"/>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Defensa P</w:t>
      </w:r>
      <w:r w:rsidRPr="00CD7B09">
        <w:rPr>
          <w:rFonts w:ascii="Century Gothic" w:eastAsia="Helvetica" w:hAnsi="Century Gothic" w:cs="Helvetica"/>
          <w:b/>
          <w:sz w:val="22"/>
          <w:szCs w:val="22"/>
        </w:rPr>
        <w:t>ública.</w:t>
      </w:r>
      <w:r w:rsidRPr="00CD7B09">
        <w:rPr>
          <w:rFonts w:ascii="Century Gothic" w:eastAsia="Garamond" w:hAnsi="Century Gothic" w:cs="Garamond"/>
          <w:sz w:val="22"/>
          <w:szCs w:val="22"/>
        </w:rPr>
        <w:t xml:space="preserve"> La Defensor</w:t>
      </w:r>
      <w:r w:rsidRPr="00CD7B09">
        <w:rPr>
          <w:rFonts w:ascii="Century Gothic" w:eastAsia="Helvetica" w:hAnsi="Century Gothic" w:cs="Helvetica"/>
          <w:sz w:val="22"/>
          <w:szCs w:val="22"/>
        </w:rPr>
        <w:t>ía del Pueblo a través del Sistema Nacional de Defensoría Pública proveerá la representación judicial técnica en la especialidad agraria y rural a las personas que previa verificación, se les haya declarado el amparo de pobreza. El Estado dispo</w:t>
      </w:r>
      <w:r w:rsidRPr="00CD7B09">
        <w:rPr>
          <w:rFonts w:ascii="Century Gothic" w:eastAsia="Garamond" w:hAnsi="Century Gothic" w:cs="Garamond"/>
          <w:sz w:val="22"/>
          <w:szCs w:val="22"/>
        </w:rPr>
        <w:t>ndr</w:t>
      </w:r>
      <w:r w:rsidRPr="00CD7B09">
        <w:rPr>
          <w:rFonts w:ascii="Century Gothic" w:eastAsia="Helvetica" w:hAnsi="Century Gothic" w:cs="Helvetica"/>
          <w:sz w:val="22"/>
          <w:szCs w:val="22"/>
        </w:rPr>
        <w:t xml:space="preserve">á la partida presupuestal necesaria para que se garantice una adecuada cobertura en todo el territorio nacional. </w:t>
      </w:r>
    </w:p>
    <w:p w14:paraId="316A7960" w14:textId="77777777" w:rsidR="00CB1679" w:rsidRPr="00CD7B09" w:rsidRDefault="00CB1679" w:rsidP="00CB1679">
      <w:pPr>
        <w:widowControl w:val="0"/>
        <w:pBdr>
          <w:top w:val="nil"/>
          <w:left w:val="nil"/>
          <w:bottom w:val="nil"/>
          <w:right w:val="nil"/>
          <w:between w:val="nil"/>
        </w:pBdr>
        <w:ind w:right="49"/>
        <w:jc w:val="both"/>
        <w:rPr>
          <w:rFonts w:ascii="Century Gothic" w:eastAsia="Garamond" w:hAnsi="Century Gothic" w:cs="Garamond"/>
          <w:sz w:val="22"/>
          <w:szCs w:val="22"/>
        </w:rPr>
      </w:pPr>
    </w:p>
    <w:p w14:paraId="5CBF3383" w14:textId="77777777" w:rsidR="00CB1679" w:rsidRPr="00CD7B09" w:rsidRDefault="00CB1679" w:rsidP="00CB1679">
      <w:pPr>
        <w:widowControl w:val="0"/>
        <w:numPr>
          <w:ilvl w:val="0"/>
          <w:numId w:val="12"/>
        </w:numPr>
        <w:pBdr>
          <w:top w:val="nil"/>
          <w:left w:val="nil"/>
          <w:bottom w:val="nil"/>
          <w:right w:val="nil"/>
          <w:between w:val="nil"/>
        </w:pBdr>
        <w:tabs>
          <w:tab w:val="left" w:pos="426"/>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Desarrollo Sostenible.</w:t>
      </w:r>
      <w:r w:rsidRPr="00CD7B09">
        <w:rPr>
          <w:rFonts w:ascii="Century Gothic" w:eastAsia="Garamond" w:hAnsi="Century Gothic" w:cs="Garamond"/>
          <w:sz w:val="22"/>
          <w:szCs w:val="22"/>
        </w:rPr>
        <w:t xml:space="preserve"> Es aquel que conduzca al crecimiento econ</w:t>
      </w:r>
      <w:r w:rsidRPr="00CD7B09">
        <w:rPr>
          <w:rFonts w:ascii="Century Gothic" w:eastAsia="Helvetica" w:hAnsi="Century Gothic" w:cs="Helvetica"/>
          <w:sz w:val="22"/>
          <w:szCs w:val="22"/>
        </w:rPr>
        <w:t xml:space="preserve">ómico, a la elevación de la calidad de la vida y al bienestar social, sin </w:t>
      </w:r>
      <w:r w:rsidRPr="00CD7B09">
        <w:rPr>
          <w:rFonts w:ascii="Century Gothic" w:eastAsia="Garamond" w:hAnsi="Century Gothic" w:cs="Garamond"/>
          <w:sz w:val="22"/>
          <w:szCs w:val="22"/>
        </w:rPr>
        <w:t>agotar la base de recursos naturales renovables en que se sustenta, ni deteriorar el medio ambiente o el derecho de las generaciones futuras a utilizarlo para la satisfacci</w:t>
      </w:r>
      <w:r w:rsidRPr="00CD7B09">
        <w:rPr>
          <w:rFonts w:ascii="Century Gothic" w:eastAsia="Helvetica" w:hAnsi="Century Gothic" w:cs="Helvetica"/>
          <w:sz w:val="22"/>
          <w:szCs w:val="22"/>
        </w:rPr>
        <w:t>ón de sus propias necesidades. Los jueces en sus decisiones tendrán en cuenta la con</w:t>
      </w:r>
      <w:r w:rsidRPr="00CD7B09">
        <w:rPr>
          <w:rFonts w:ascii="Century Gothic" w:eastAsia="Garamond" w:hAnsi="Century Gothic" w:cs="Garamond"/>
          <w:sz w:val="22"/>
          <w:szCs w:val="22"/>
        </w:rPr>
        <w:t>servaci</w:t>
      </w:r>
      <w:r w:rsidRPr="00CD7B09">
        <w:rPr>
          <w:rFonts w:ascii="Century Gothic" w:eastAsia="Helvetica" w:hAnsi="Century Gothic" w:cs="Helvetica"/>
          <w:sz w:val="22"/>
          <w:szCs w:val="22"/>
        </w:rPr>
        <w:t>ón y el buen manejo del suelo rural fértil que, en todo caso, es responsabilidad de sus propietarios o legítimos poseedores, para el desarrollo social, económico y ambiental equilibrado.</w:t>
      </w:r>
    </w:p>
    <w:p w14:paraId="2E28080D" w14:textId="77777777" w:rsidR="00CB1679" w:rsidRPr="00CD7B09" w:rsidRDefault="00CB1679" w:rsidP="00CB1679">
      <w:pPr>
        <w:ind w:right="49"/>
        <w:rPr>
          <w:rFonts w:ascii="Century Gothic" w:eastAsia="Garamond" w:hAnsi="Century Gothic" w:cs="Garamond"/>
          <w:b/>
          <w:sz w:val="22"/>
          <w:szCs w:val="22"/>
        </w:rPr>
      </w:pPr>
    </w:p>
    <w:p w14:paraId="50C99DEF" w14:textId="77777777" w:rsidR="00CB1679" w:rsidRPr="00CD7B09" w:rsidRDefault="00CB1679" w:rsidP="00CB1679">
      <w:pPr>
        <w:widowControl w:val="0"/>
        <w:numPr>
          <w:ilvl w:val="0"/>
          <w:numId w:val="12"/>
        </w:numPr>
        <w:pBdr>
          <w:top w:val="nil"/>
          <w:left w:val="nil"/>
          <w:bottom w:val="nil"/>
          <w:right w:val="nil"/>
          <w:between w:val="nil"/>
        </w:pBdr>
        <w:tabs>
          <w:tab w:val="left" w:pos="426"/>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Funci</w:t>
      </w:r>
      <w:r w:rsidRPr="00CD7B09">
        <w:rPr>
          <w:rFonts w:ascii="Century Gothic" w:eastAsia="Helvetica" w:hAnsi="Century Gothic" w:cs="Helvetica"/>
          <w:b/>
          <w:sz w:val="22"/>
          <w:szCs w:val="22"/>
        </w:rPr>
        <w:t xml:space="preserve">ón Ecológica de la Propiedad. </w:t>
      </w:r>
      <w:r w:rsidRPr="00CD7B09">
        <w:rPr>
          <w:rFonts w:ascii="Century Gothic" w:eastAsia="Garamond" w:hAnsi="Century Gothic" w:cs="Garamond"/>
          <w:sz w:val="22"/>
          <w:szCs w:val="22"/>
        </w:rPr>
        <w:t>Limitaci</w:t>
      </w:r>
      <w:r w:rsidRPr="00CD7B09">
        <w:rPr>
          <w:rFonts w:ascii="Century Gothic" w:eastAsia="Helvetica" w:hAnsi="Century Gothic" w:cs="Helvetica"/>
          <w:sz w:val="22"/>
          <w:szCs w:val="22"/>
        </w:rPr>
        <w:t xml:space="preserve">ón a la que se </w:t>
      </w:r>
      <w:r w:rsidRPr="00CD7B09">
        <w:rPr>
          <w:rFonts w:ascii="Century Gothic" w:eastAsia="Garamond" w:hAnsi="Century Gothic" w:cs="Garamond"/>
          <w:sz w:val="22"/>
          <w:szCs w:val="22"/>
        </w:rPr>
        <w:t>encuentra sujeta el derecho a la propiedad que se encuentra estrictamente ligada con el concepto de desarrollo sostenible.</w:t>
      </w:r>
    </w:p>
    <w:p w14:paraId="61BCB10A" w14:textId="77777777" w:rsidR="00CB1679" w:rsidRPr="00CD7B09" w:rsidRDefault="00CB1679" w:rsidP="00CB1679">
      <w:pPr>
        <w:ind w:right="49"/>
        <w:rPr>
          <w:rFonts w:ascii="Century Gothic" w:eastAsia="Garamond" w:hAnsi="Century Gothic" w:cs="Garamond"/>
          <w:b/>
          <w:sz w:val="22"/>
          <w:szCs w:val="22"/>
        </w:rPr>
      </w:pPr>
    </w:p>
    <w:p w14:paraId="1EE0B6F5" w14:textId="77777777" w:rsidR="00CB1679" w:rsidRPr="00CD7B09" w:rsidRDefault="00CB1679" w:rsidP="00CB1679">
      <w:pPr>
        <w:widowControl w:val="0"/>
        <w:numPr>
          <w:ilvl w:val="0"/>
          <w:numId w:val="12"/>
        </w:numPr>
        <w:pBdr>
          <w:top w:val="nil"/>
          <w:left w:val="nil"/>
          <w:bottom w:val="nil"/>
          <w:right w:val="nil"/>
          <w:between w:val="nil"/>
        </w:pBdr>
        <w:tabs>
          <w:tab w:val="left" w:pos="426"/>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Igualdad de las Partes. </w:t>
      </w:r>
      <w:r w:rsidRPr="00CD7B09">
        <w:rPr>
          <w:rFonts w:ascii="Century Gothic" w:eastAsia="Garamond" w:hAnsi="Century Gothic" w:cs="Garamond"/>
          <w:sz w:val="22"/>
          <w:szCs w:val="22"/>
        </w:rPr>
        <w:t>Las autoridades judiciales que se rijan con esta Ley har</w:t>
      </w:r>
      <w:r w:rsidRPr="00CD7B09">
        <w:rPr>
          <w:rFonts w:ascii="Century Gothic" w:eastAsia="Helvetica" w:hAnsi="Century Gothic" w:cs="Helvetica"/>
          <w:sz w:val="22"/>
          <w:szCs w:val="22"/>
        </w:rPr>
        <w:t>án uso de los poderes que ésta les otorgue para logr</w:t>
      </w:r>
      <w:r w:rsidRPr="00CD7B09">
        <w:rPr>
          <w:rFonts w:ascii="Century Gothic" w:eastAsia="Garamond" w:hAnsi="Century Gothic" w:cs="Garamond"/>
          <w:sz w:val="22"/>
          <w:szCs w:val="22"/>
        </w:rPr>
        <w:t>ar la igualdad real entre las partes.</w:t>
      </w:r>
    </w:p>
    <w:p w14:paraId="2DD7A52E" w14:textId="77777777" w:rsidR="00CB1679" w:rsidRPr="00CD7B09" w:rsidRDefault="00CB1679" w:rsidP="00CB1679">
      <w:pPr>
        <w:ind w:right="49"/>
        <w:rPr>
          <w:rFonts w:ascii="Century Gothic" w:eastAsia="Garamond" w:hAnsi="Century Gothic" w:cs="Garamond"/>
          <w:b/>
          <w:sz w:val="22"/>
          <w:szCs w:val="22"/>
        </w:rPr>
      </w:pPr>
    </w:p>
    <w:p w14:paraId="44E896D3" w14:textId="77777777" w:rsidR="00CB1679" w:rsidRPr="00CD7B09" w:rsidRDefault="00CB1679" w:rsidP="00CB1679">
      <w:pPr>
        <w:widowControl w:val="0"/>
        <w:numPr>
          <w:ilvl w:val="0"/>
          <w:numId w:val="12"/>
        </w:numPr>
        <w:pBdr>
          <w:top w:val="nil"/>
          <w:left w:val="nil"/>
          <w:bottom w:val="nil"/>
          <w:right w:val="nil"/>
          <w:between w:val="nil"/>
        </w:pBdr>
        <w:tabs>
          <w:tab w:val="left" w:pos="426"/>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Enfoque Territorial. </w:t>
      </w:r>
      <w:r w:rsidRPr="00CD7B09">
        <w:rPr>
          <w:rFonts w:ascii="Century Gothic" w:eastAsia="Garamond" w:hAnsi="Century Gothic" w:cs="Garamond"/>
          <w:sz w:val="22"/>
          <w:szCs w:val="22"/>
        </w:rPr>
        <w:t>Supone reconocer y tener en cuenta las necesidades, caracter</w:t>
      </w:r>
      <w:r w:rsidRPr="00CD7B09">
        <w:rPr>
          <w:rFonts w:ascii="Century Gothic" w:eastAsia="Helvetica" w:hAnsi="Century Gothic" w:cs="Helvetica"/>
          <w:sz w:val="22"/>
          <w:szCs w:val="22"/>
        </w:rPr>
        <w:t>ísticas y particularidades económicas, culturales y sociales de los territorios y las comunidades, garantizando la sostenibilidad socio-</w:t>
      </w:r>
      <w:r w:rsidRPr="00CD7B09">
        <w:rPr>
          <w:rFonts w:ascii="Century Gothic" w:eastAsia="Garamond" w:hAnsi="Century Gothic" w:cs="Garamond"/>
          <w:sz w:val="22"/>
          <w:szCs w:val="22"/>
        </w:rPr>
        <w:t>ambiental; y procurando implementar las diferentes medidas de manera integral y coordinada, con la participaci</w:t>
      </w:r>
      <w:r w:rsidRPr="00CD7B09">
        <w:rPr>
          <w:rFonts w:ascii="Century Gothic" w:eastAsia="Helvetica" w:hAnsi="Century Gothic" w:cs="Helvetica"/>
          <w:sz w:val="22"/>
          <w:szCs w:val="22"/>
        </w:rPr>
        <w:t>ón activa de la ciudadanía.</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Se brindar</w:t>
      </w:r>
      <w:r w:rsidRPr="00CD7B09">
        <w:rPr>
          <w:rFonts w:ascii="Century Gothic" w:eastAsia="Helvetica" w:hAnsi="Century Gothic" w:cs="Helvetica"/>
          <w:sz w:val="22"/>
          <w:szCs w:val="22"/>
        </w:rPr>
        <w:t>á especial atención a las comunidades rurales que actualmente están dentro o colindan con el Sistema Naciona</w:t>
      </w:r>
      <w:r w:rsidRPr="00CD7B09">
        <w:rPr>
          <w:rFonts w:ascii="Century Gothic" w:eastAsia="Garamond" w:hAnsi="Century Gothic" w:cs="Garamond"/>
          <w:sz w:val="22"/>
          <w:szCs w:val="22"/>
        </w:rPr>
        <w:t xml:space="preserve">l de </w:t>
      </w:r>
      <w:r w:rsidRPr="00CD7B09">
        <w:rPr>
          <w:rFonts w:ascii="Century Gothic" w:eastAsia="Helvetica" w:hAnsi="Century Gothic" w:cs="Helvetica"/>
          <w:sz w:val="22"/>
          <w:szCs w:val="22"/>
        </w:rPr>
        <w:t>Áreas Protegidas (SINAP), reservas forestales, ecosistemas estratégicos y demás categorías de protección que señale la legislación nacional e internacional.</w:t>
      </w:r>
    </w:p>
    <w:p w14:paraId="29EEF093" w14:textId="77777777" w:rsidR="00CB1679" w:rsidRPr="00CD7B09" w:rsidRDefault="00CB1679" w:rsidP="00CB1679">
      <w:pPr>
        <w:ind w:right="49"/>
        <w:rPr>
          <w:rFonts w:ascii="Century Gothic" w:eastAsia="Garamond" w:hAnsi="Century Gothic" w:cs="Garamond"/>
          <w:b/>
          <w:sz w:val="22"/>
          <w:szCs w:val="22"/>
        </w:rPr>
      </w:pPr>
    </w:p>
    <w:p w14:paraId="4E8FFBA9" w14:textId="77777777" w:rsidR="00CB1679" w:rsidRPr="00CD7B09" w:rsidRDefault="00CB1679" w:rsidP="00CB1679">
      <w:pPr>
        <w:widowControl w:val="0"/>
        <w:numPr>
          <w:ilvl w:val="0"/>
          <w:numId w:val="12"/>
        </w:numPr>
        <w:pBdr>
          <w:top w:val="nil"/>
          <w:left w:val="nil"/>
          <w:bottom w:val="nil"/>
          <w:right w:val="nil"/>
          <w:between w:val="nil"/>
        </w:pBdr>
        <w:tabs>
          <w:tab w:val="left" w:pos="426"/>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Protecci</w:t>
      </w:r>
      <w:r w:rsidRPr="00CD7B09">
        <w:rPr>
          <w:rFonts w:ascii="Century Gothic" w:eastAsia="Helvetica" w:hAnsi="Century Gothic" w:cs="Helvetica"/>
          <w:b/>
          <w:sz w:val="22"/>
          <w:szCs w:val="22"/>
        </w:rPr>
        <w:t>ón de los Recursos Hídricos.</w:t>
      </w:r>
      <w:r w:rsidRPr="00CD7B09">
        <w:rPr>
          <w:rFonts w:ascii="Century Gothic" w:eastAsia="Garamond" w:hAnsi="Century Gothic" w:cs="Garamond"/>
          <w:sz w:val="22"/>
          <w:szCs w:val="22"/>
        </w:rPr>
        <w:t xml:space="preserve"> La resoluci</w:t>
      </w:r>
      <w:r w:rsidRPr="00CD7B09">
        <w:rPr>
          <w:rFonts w:ascii="Century Gothic" w:eastAsia="Helvetica" w:hAnsi="Century Gothic" w:cs="Helvetica"/>
          <w:sz w:val="22"/>
          <w:szCs w:val="22"/>
        </w:rPr>
        <w:t>ón a los conflictos que se someten a esta jur</w:t>
      </w:r>
      <w:r w:rsidRPr="00CD7B09">
        <w:rPr>
          <w:rFonts w:ascii="Century Gothic" w:eastAsia="Garamond" w:hAnsi="Century Gothic" w:cs="Garamond"/>
          <w:sz w:val="22"/>
          <w:szCs w:val="22"/>
        </w:rPr>
        <w:t>isdicci</w:t>
      </w:r>
      <w:r w:rsidRPr="00CD7B09">
        <w:rPr>
          <w:rFonts w:ascii="Century Gothic" w:eastAsia="Helvetica" w:hAnsi="Century Gothic" w:cs="Helvetica"/>
          <w:sz w:val="22"/>
          <w:szCs w:val="22"/>
        </w:rPr>
        <w:t>ón deberán integrar el respeto por el manejo, utilización y conservación de los recursos hídricos como fuente de toda la actividad agraria y como esencia de la existencia de la vida.</w:t>
      </w:r>
    </w:p>
    <w:p w14:paraId="04B66E7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65B7BC0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 xml:space="preserve">ículo 4. </w:t>
      </w:r>
      <w:r w:rsidRPr="00CD7B09">
        <w:rPr>
          <w:rFonts w:ascii="Century Gothic" w:eastAsia="Garamond" w:hAnsi="Century Gothic" w:cs="Garamond"/>
          <w:sz w:val="22"/>
          <w:szCs w:val="22"/>
        </w:rPr>
        <w:t>Adici</w:t>
      </w:r>
      <w:r w:rsidRPr="00CD7B09">
        <w:rPr>
          <w:rFonts w:ascii="Century Gothic" w:eastAsia="Helvetica" w:hAnsi="Century Gothic" w:cs="Helvetica"/>
          <w:sz w:val="22"/>
          <w:szCs w:val="22"/>
        </w:rPr>
        <w:t xml:space="preserve">ónense los siguientes incisos al artículo 2º de </w:t>
      </w:r>
      <w:r w:rsidRPr="00CD7B09">
        <w:rPr>
          <w:rFonts w:ascii="Century Gothic" w:eastAsia="Garamond" w:hAnsi="Century Gothic" w:cs="Garamond"/>
          <w:sz w:val="22"/>
          <w:szCs w:val="22"/>
        </w:rPr>
        <w:t>la Ley 270 de 1996, el cual quedar</w:t>
      </w:r>
      <w:r w:rsidRPr="00CD7B09">
        <w:rPr>
          <w:rFonts w:ascii="Century Gothic" w:eastAsia="Helvetica" w:hAnsi="Century Gothic" w:cs="Helvetica"/>
          <w:sz w:val="22"/>
          <w:szCs w:val="22"/>
        </w:rPr>
        <w:t xml:space="preserve">á así: </w:t>
      </w:r>
    </w:p>
    <w:p w14:paraId="54B5C76A"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5CB00A0B"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w:t>
      </w:r>
      <w:r w:rsidRPr="00CD7B09">
        <w:rPr>
          <w:rFonts w:ascii="Century Gothic" w:eastAsia="Helvetica" w:hAnsi="Century Gothic" w:cs="Helvetica"/>
          <w:sz w:val="22"/>
          <w:szCs w:val="22"/>
        </w:rPr>
        <w:t>ículo 2. Acceso a la justicia. El Estado garantiza el acceso de todas las personas a la administración de justicia. Será de su cargo el amparo de pobreza y será fortalecido el servicio de defensoría pública. En</w:t>
      </w:r>
      <w:r w:rsidRPr="00CD7B09">
        <w:rPr>
          <w:rFonts w:ascii="Century Gothic" w:eastAsia="Garamond" w:hAnsi="Century Gothic" w:cs="Garamond"/>
          <w:sz w:val="22"/>
          <w:szCs w:val="22"/>
        </w:rPr>
        <w:t xml:space="preserve"> cada municipio habr</w:t>
      </w:r>
      <w:r w:rsidRPr="00CD7B09">
        <w:rPr>
          <w:rFonts w:ascii="Century Gothic" w:eastAsia="Helvetica" w:hAnsi="Century Gothic" w:cs="Helvetica"/>
          <w:sz w:val="22"/>
          <w:szCs w:val="22"/>
        </w:rPr>
        <w:t>á como mínimo una oficina de la Defensoría del Pueblo compuesta por al menos un Defensor Municipal y un Defensor Público, conforme a la reglamentación que para tal efecto expida el Defensor del Pueblo.</w:t>
      </w:r>
      <w:r w:rsidRPr="00CD7B09">
        <w:rPr>
          <w:rFonts w:ascii="Century Gothic" w:eastAsia="Garamond" w:hAnsi="Century Gothic" w:cs="Garamond"/>
          <w:sz w:val="22"/>
          <w:szCs w:val="22"/>
        </w:rPr>
        <w:t xml:space="preserve"> Para cumplir con lo anterior, la Defensor</w:t>
      </w:r>
      <w:r w:rsidRPr="00CD7B09">
        <w:rPr>
          <w:rFonts w:ascii="Century Gothic" w:eastAsia="Helvetica" w:hAnsi="Century Gothic" w:cs="Helvetica"/>
          <w:sz w:val="22"/>
          <w:szCs w:val="22"/>
        </w:rPr>
        <w:t>ía del Pueblo podrá hacer convenios con las facultades de derecho de las universidades oficialmente reconocidas por el Estado.</w:t>
      </w:r>
    </w:p>
    <w:p w14:paraId="687E2E59"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4BC4EAD1"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Deber</w:t>
      </w:r>
      <w:r w:rsidRPr="00CD7B09">
        <w:rPr>
          <w:rFonts w:ascii="Century Gothic" w:eastAsia="Helvetica" w:hAnsi="Century Gothic" w:cs="Helvetica"/>
          <w:sz w:val="22"/>
          <w:szCs w:val="22"/>
        </w:rPr>
        <w:t>á garantizarse el acceso a la justicia a todas las personas, con independencia de sus circunstancias personales, med</w:t>
      </w:r>
      <w:r w:rsidRPr="00CD7B09">
        <w:rPr>
          <w:rFonts w:ascii="Century Gothic" w:eastAsia="Garamond" w:hAnsi="Century Gothic" w:cs="Garamond"/>
          <w:sz w:val="22"/>
          <w:szCs w:val="22"/>
        </w:rPr>
        <w:t>ios o conocimientos, procurando la permanente actualizaci</w:t>
      </w:r>
      <w:r w:rsidRPr="00CD7B09">
        <w:rPr>
          <w:rFonts w:ascii="Century Gothic" w:eastAsia="Helvetica" w:hAnsi="Century Gothic" w:cs="Helvetica"/>
          <w:sz w:val="22"/>
          <w:szCs w:val="22"/>
        </w:rPr>
        <w:t>ón de los recursos disponibles y la formación adecuada de los servidores públicos y de las personas para garantizar el acceso a la justicia.</w:t>
      </w:r>
    </w:p>
    <w:p w14:paraId="5C712FA3"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7D3D66A3"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personas que demanden la tutela de sus derechos e intereses podr</w:t>
      </w:r>
      <w:r w:rsidRPr="00CD7B09">
        <w:rPr>
          <w:rFonts w:ascii="Century Gothic" w:eastAsia="Helvetica" w:hAnsi="Century Gothic" w:cs="Helvetica"/>
          <w:sz w:val="22"/>
          <w:szCs w:val="22"/>
        </w:rPr>
        <w:t>án hacerlo a través de los medios tecnológicos y digitales que para el efecto se establezcan.</w:t>
      </w:r>
    </w:p>
    <w:p w14:paraId="37978708"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4B2415A6"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Los municipios, la defensor</w:t>
      </w:r>
      <w:r w:rsidRPr="00CD7B09">
        <w:rPr>
          <w:rFonts w:ascii="Century Gothic" w:eastAsia="Helvetica" w:hAnsi="Century Gothic" w:cs="Helvetica"/>
          <w:sz w:val="22"/>
          <w:szCs w:val="22"/>
        </w:rPr>
        <w:t>ía del pueblo, las personerías y demás entidades públicas, deberán disponer en sus sedes de los medios para que las persona</w:t>
      </w:r>
      <w:r w:rsidRPr="00CD7B09">
        <w:rPr>
          <w:rFonts w:ascii="Century Gothic" w:eastAsia="Garamond" w:hAnsi="Century Gothic" w:cs="Garamond"/>
          <w:sz w:val="22"/>
          <w:szCs w:val="22"/>
        </w:rPr>
        <w:t>s del sistema de justicia puedan acceder para adelantar actuaciones judiciales de manera virtual.</w:t>
      </w:r>
    </w:p>
    <w:p w14:paraId="425F4FAE"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5D809FE6"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oferta de justicia en cada municipio contar</w:t>
      </w:r>
      <w:r w:rsidRPr="00CD7B09">
        <w:rPr>
          <w:rFonts w:ascii="Century Gothic" w:eastAsia="Helvetica" w:hAnsi="Century Gothic" w:cs="Helvetica"/>
          <w:sz w:val="22"/>
          <w:szCs w:val="22"/>
        </w:rPr>
        <w:t xml:space="preserve">á con una planeación adecuada y participativa, atendiendo a las características particulares de conflictividad </w:t>
      </w:r>
      <w:r w:rsidRPr="00CD7B09">
        <w:rPr>
          <w:rFonts w:ascii="Century Gothic" w:eastAsia="Garamond" w:hAnsi="Century Gothic" w:cs="Garamond"/>
          <w:sz w:val="22"/>
          <w:szCs w:val="22"/>
        </w:rPr>
        <w:t>social, caracter</w:t>
      </w:r>
      <w:r w:rsidRPr="00CD7B09">
        <w:rPr>
          <w:rFonts w:ascii="Century Gothic" w:eastAsia="Helvetica" w:hAnsi="Century Gothic" w:cs="Helvetica"/>
          <w:sz w:val="22"/>
          <w:szCs w:val="22"/>
        </w:rPr>
        <w:t>ísticas sociodemográficas, demanda de justicia existente y potencial, y condiciones para la implementación de mecanismos alternativos de solución de conflictos. Para el efecto se fortalecerán la defensoría del pueblo, las personerías munici</w:t>
      </w:r>
      <w:r w:rsidRPr="00CD7B09">
        <w:rPr>
          <w:rFonts w:ascii="Century Gothic" w:eastAsia="Garamond" w:hAnsi="Century Gothic" w:cs="Garamond"/>
          <w:sz w:val="22"/>
          <w:szCs w:val="22"/>
        </w:rPr>
        <w:t>pales, y casas de justicia con el fin de garantizar el acceso gratuito a este servicio p</w:t>
      </w:r>
      <w:r w:rsidRPr="00CD7B09">
        <w:rPr>
          <w:rFonts w:ascii="Century Gothic" w:eastAsia="Helvetica" w:hAnsi="Century Gothic" w:cs="Helvetica"/>
          <w:sz w:val="22"/>
          <w:szCs w:val="22"/>
        </w:rPr>
        <w:t>úblico.</w:t>
      </w:r>
    </w:p>
    <w:p w14:paraId="2A8324A8"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0421FC4E"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El Estado garantizar</w:t>
      </w:r>
      <w:r w:rsidRPr="00CD7B09">
        <w:rPr>
          <w:rFonts w:ascii="Century Gothic" w:eastAsia="Helvetica" w:hAnsi="Century Gothic" w:cs="Helvetica"/>
          <w:sz w:val="22"/>
          <w:szCs w:val="22"/>
        </w:rPr>
        <w:t xml:space="preserve">á el acceso a la justicia en las zonas rurales y promoverá la creación de mecanismos judiciales y administrativos que atiendan a las </w:t>
      </w:r>
      <w:r w:rsidRPr="00CD7B09">
        <w:rPr>
          <w:rFonts w:ascii="Century Gothic" w:eastAsia="Garamond" w:hAnsi="Century Gothic" w:cs="Garamond"/>
          <w:sz w:val="22"/>
          <w:szCs w:val="22"/>
        </w:rPr>
        <w:t>particularidades de estos territorios, as</w:t>
      </w:r>
      <w:r w:rsidRPr="00CD7B09">
        <w:rPr>
          <w:rFonts w:ascii="Century Gothic" w:eastAsia="Helvetica" w:hAnsi="Century Gothic" w:cs="Helvetica"/>
          <w:sz w:val="22"/>
          <w:szCs w:val="22"/>
        </w:rPr>
        <w:t>í como mecanismos alternativos de solución de conflictos, para resolver los conflictos individuales y comunitarios que se presenten en dichas zonas, procurando el uso de las tecnologías de la información. Así mismo,</w:t>
      </w:r>
      <w:r w:rsidRPr="00CD7B09">
        <w:rPr>
          <w:rFonts w:ascii="Century Gothic" w:eastAsia="Garamond" w:hAnsi="Century Gothic" w:cs="Garamond"/>
          <w:sz w:val="22"/>
          <w:szCs w:val="22"/>
        </w:rPr>
        <w:t xml:space="preserve"> deber</w:t>
      </w:r>
      <w:r w:rsidRPr="00CD7B09">
        <w:rPr>
          <w:rFonts w:ascii="Century Gothic" w:eastAsia="Helvetica" w:hAnsi="Century Gothic" w:cs="Helvetica"/>
          <w:sz w:val="22"/>
          <w:szCs w:val="22"/>
        </w:rPr>
        <w:t xml:space="preserve">á tener en cuenta los mecanismos alternativos de solución de conflictos propios de las comunidades étnicas asentadas en </w:t>
      </w:r>
      <w:proofErr w:type="gramStart"/>
      <w:r w:rsidRPr="00CD7B09">
        <w:rPr>
          <w:rFonts w:ascii="Century Gothic" w:eastAsia="Helvetica" w:hAnsi="Century Gothic" w:cs="Helvetica"/>
          <w:sz w:val="22"/>
          <w:szCs w:val="22"/>
        </w:rPr>
        <w:t>dicha zonas rurales</w:t>
      </w:r>
      <w:proofErr w:type="gramEnd"/>
      <w:r w:rsidRPr="00CD7B09">
        <w:rPr>
          <w:rFonts w:ascii="Century Gothic" w:eastAsia="Helvetica" w:hAnsi="Century Gothic" w:cs="Helvetica"/>
          <w:sz w:val="22"/>
          <w:szCs w:val="22"/>
        </w:rPr>
        <w:t xml:space="preserve"> de acuerdo a la realidad social y económica de cada región.</w:t>
      </w:r>
    </w:p>
    <w:p w14:paraId="26D8E373"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699A8592"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El Estado tambi</w:t>
      </w:r>
      <w:r w:rsidRPr="00CD7B09">
        <w:rPr>
          <w:rFonts w:ascii="Century Gothic" w:eastAsia="Helvetica" w:hAnsi="Century Gothic" w:cs="Helvetica"/>
          <w:sz w:val="22"/>
          <w:szCs w:val="22"/>
        </w:rPr>
        <w:t>én promoverá la articulación entre</w:t>
      </w:r>
      <w:r w:rsidRPr="00CD7B09">
        <w:rPr>
          <w:rFonts w:ascii="Century Gothic" w:eastAsia="Garamond" w:hAnsi="Century Gothic" w:cs="Garamond"/>
          <w:sz w:val="22"/>
          <w:szCs w:val="22"/>
        </w:rPr>
        <w:t xml:space="preserve"> las distintas formas de oferta de justicia y facilitar</w:t>
      </w:r>
      <w:r w:rsidRPr="00CD7B09">
        <w:rPr>
          <w:rFonts w:ascii="Century Gothic" w:eastAsia="Helvetica" w:hAnsi="Century Gothic" w:cs="Helvetica"/>
          <w:sz w:val="22"/>
          <w:szCs w:val="22"/>
        </w:rPr>
        <w:t>á el acceso coordinado a las mismas por parte de las personas.</w:t>
      </w:r>
    </w:p>
    <w:p w14:paraId="6803273A"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5C04B934"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autoridades competentes adecuar</w:t>
      </w:r>
      <w:r w:rsidRPr="00CD7B09">
        <w:rPr>
          <w:rFonts w:ascii="Century Gothic" w:eastAsia="Helvetica" w:hAnsi="Century Gothic" w:cs="Helvetica"/>
          <w:sz w:val="22"/>
          <w:szCs w:val="22"/>
        </w:rPr>
        <w:t>án la infraestructura física para la prestación del servicio de justicia y ajustarán sus procedimiento</w:t>
      </w:r>
      <w:r w:rsidRPr="00CD7B09">
        <w:rPr>
          <w:rFonts w:ascii="Century Gothic" w:eastAsia="Garamond" w:hAnsi="Century Gothic" w:cs="Garamond"/>
          <w:sz w:val="22"/>
          <w:szCs w:val="22"/>
        </w:rPr>
        <w:t>s e instrumentos de gesti</w:t>
      </w:r>
      <w:r w:rsidRPr="00CD7B09">
        <w:rPr>
          <w:rFonts w:ascii="Century Gothic" w:eastAsia="Helvetica" w:hAnsi="Century Gothic" w:cs="Helvetica"/>
          <w:sz w:val="22"/>
          <w:szCs w:val="22"/>
        </w:rPr>
        <w:t>ón, para garantizar la adecuada y oportuna atención a la población en situación de discapacidad. El Ministerio de Justicia celebrará convenios con la Rama Judicial para sumar esfuerzos presupuestales que prioricen la construcción d</w:t>
      </w:r>
      <w:r w:rsidRPr="00CD7B09">
        <w:rPr>
          <w:rFonts w:ascii="Century Gothic" w:eastAsia="Garamond" w:hAnsi="Century Gothic" w:cs="Garamond"/>
          <w:sz w:val="22"/>
          <w:szCs w:val="22"/>
        </w:rPr>
        <w:t>e casas de justicia en los municipios PDET.</w:t>
      </w:r>
    </w:p>
    <w:p w14:paraId="3C41F7A0"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49C59901"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Con el prop</w:t>
      </w:r>
      <w:r w:rsidRPr="00CD7B09">
        <w:rPr>
          <w:rFonts w:ascii="Century Gothic" w:eastAsia="Helvetica" w:hAnsi="Century Gothic" w:cs="Helvetica"/>
          <w:sz w:val="22"/>
          <w:szCs w:val="22"/>
        </w:rPr>
        <w:t>ósito de contar con información que facilite la adopción de medidas para el fortalecimiento del acceso a la justicia, el Estado diseñará e implementará instrumentos para la medición periódica de la si</w:t>
      </w:r>
      <w:r w:rsidRPr="00CD7B09">
        <w:rPr>
          <w:rFonts w:ascii="Century Gothic" w:eastAsia="Garamond" w:hAnsi="Century Gothic" w:cs="Garamond"/>
          <w:sz w:val="22"/>
          <w:szCs w:val="22"/>
        </w:rPr>
        <w:t>tuaci</w:t>
      </w:r>
      <w:r w:rsidRPr="00CD7B09">
        <w:rPr>
          <w:rFonts w:ascii="Century Gothic" w:eastAsia="Helvetica" w:hAnsi="Century Gothic" w:cs="Helvetica"/>
          <w:sz w:val="22"/>
          <w:szCs w:val="22"/>
        </w:rPr>
        <w:t>ón de acceso a la justicia y satisfacción de necesidades jurídicas en los diferentes territorios del país.</w:t>
      </w:r>
    </w:p>
    <w:p w14:paraId="3C8B9A13"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52A29528"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w:t>
      </w:r>
      <w:r w:rsidRPr="00CD7B09">
        <w:rPr>
          <w:rFonts w:ascii="Century Gothic" w:eastAsia="Helvetica" w:hAnsi="Century Gothic" w:cs="Helvetica"/>
          <w:sz w:val="22"/>
          <w:szCs w:val="22"/>
        </w:rPr>
        <w:t>ÁGRAFO. En cada municipio funcionará al menos un juzgado cualquiera que sea su categoría. Para lo cual en los términos del artículo 63 de la</w:t>
      </w:r>
      <w:r w:rsidRPr="00CD7B09">
        <w:rPr>
          <w:rFonts w:ascii="Century Gothic" w:eastAsia="Garamond" w:hAnsi="Century Gothic" w:cs="Garamond"/>
          <w:sz w:val="22"/>
          <w:szCs w:val="22"/>
        </w:rPr>
        <w:t xml:space="preserve"> presente ley, el Consejo Superior de la Judicatura podr</w:t>
      </w:r>
      <w:r w:rsidRPr="00CD7B09">
        <w:rPr>
          <w:rFonts w:ascii="Century Gothic" w:eastAsia="Helvetica" w:hAnsi="Century Gothic" w:cs="Helvetica"/>
          <w:sz w:val="22"/>
          <w:szCs w:val="22"/>
        </w:rPr>
        <w:t>á crear despachos judiciales, jueces y magistrados de apoyo itinerantes. Dichos jueces tendrán competencia para tramitar y resolver los procesos dentro de los despachos que se señalen expresamente, de</w:t>
      </w:r>
      <w:r w:rsidRPr="00CD7B09">
        <w:rPr>
          <w:rFonts w:ascii="Century Gothic" w:eastAsia="Garamond" w:hAnsi="Century Gothic" w:cs="Garamond"/>
          <w:sz w:val="22"/>
          <w:szCs w:val="22"/>
        </w:rPr>
        <w:t xml:space="preserve"> acuerdo a la demanda de justicia.</w:t>
      </w:r>
    </w:p>
    <w:p w14:paraId="4240F998"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51B422CB"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Progresivamente, de conformidad con la situaci</w:t>
      </w:r>
      <w:r w:rsidRPr="00CD7B09">
        <w:rPr>
          <w:rFonts w:ascii="Century Gothic" w:eastAsia="Helvetica" w:hAnsi="Century Gothic" w:cs="Helvetica"/>
          <w:sz w:val="22"/>
          <w:szCs w:val="22"/>
        </w:rPr>
        <w:t>ón fiscal de la Nación y el Marco de Gasto de Mediano Plazo del sector justicia, el Estado deberá garantizar el estándar internacional de jueces por número de habitantes dete</w:t>
      </w:r>
      <w:r w:rsidRPr="00CD7B09">
        <w:rPr>
          <w:rFonts w:ascii="Century Gothic" w:eastAsia="Garamond" w:hAnsi="Century Gothic" w:cs="Garamond"/>
          <w:sz w:val="22"/>
          <w:szCs w:val="22"/>
        </w:rPr>
        <w:t>rminado por la Organizaci</w:t>
      </w:r>
      <w:r w:rsidRPr="00CD7B09">
        <w:rPr>
          <w:rFonts w:ascii="Century Gothic" w:eastAsia="Helvetica" w:hAnsi="Century Gothic" w:cs="Helvetica"/>
          <w:sz w:val="22"/>
          <w:szCs w:val="22"/>
        </w:rPr>
        <w:t>ón para la Cooperación y el Desarrollo Económico (OCDE).</w:t>
      </w:r>
    </w:p>
    <w:p w14:paraId="06A7B924"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6B764310"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 xml:space="preserve">ículo 5. </w:t>
      </w:r>
      <w:r w:rsidRPr="00CD7B09">
        <w:rPr>
          <w:rFonts w:ascii="Century Gothic" w:eastAsia="Garamond" w:hAnsi="Century Gothic" w:cs="Garamond"/>
          <w:sz w:val="22"/>
          <w:szCs w:val="22"/>
        </w:rPr>
        <w:t>Modif</w:t>
      </w:r>
      <w:r w:rsidRPr="00CD7B09">
        <w:rPr>
          <w:rFonts w:ascii="Century Gothic" w:eastAsia="Helvetica" w:hAnsi="Century Gothic" w:cs="Helvetica"/>
          <w:sz w:val="22"/>
          <w:szCs w:val="22"/>
        </w:rPr>
        <w:t>íquese el artículo 6 de la Ley 270 de 1996, el cual quedará así:</w:t>
      </w:r>
    </w:p>
    <w:p w14:paraId="32F7A45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p>
    <w:p w14:paraId="61695ED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w:t>
      </w:r>
      <w:r w:rsidRPr="00CD7B09">
        <w:rPr>
          <w:rFonts w:ascii="Century Gothic" w:eastAsia="Helvetica" w:hAnsi="Century Gothic" w:cs="Helvetica"/>
          <w:sz w:val="22"/>
          <w:szCs w:val="22"/>
        </w:rPr>
        <w:t>ículo 6. Gratuidad</w:t>
      </w:r>
      <w:r w:rsidRPr="00CD7B09">
        <w:rPr>
          <w:rFonts w:ascii="Century Gothic" w:eastAsia="Garamond" w:hAnsi="Century Gothic" w:cs="Garamond"/>
          <w:i/>
          <w:sz w:val="22"/>
          <w:szCs w:val="22"/>
        </w:rPr>
        <w:t xml:space="preserve">. </w:t>
      </w:r>
      <w:r w:rsidRPr="00CD7B09">
        <w:rPr>
          <w:rFonts w:ascii="Century Gothic" w:eastAsia="Garamond" w:hAnsi="Century Gothic" w:cs="Garamond"/>
          <w:sz w:val="22"/>
          <w:szCs w:val="22"/>
        </w:rPr>
        <w:t>La administraci</w:t>
      </w:r>
      <w:r w:rsidRPr="00CD7B09">
        <w:rPr>
          <w:rFonts w:ascii="Century Gothic" w:eastAsia="Helvetica" w:hAnsi="Century Gothic" w:cs="Helvetica"/>
          <w:sz w:val="22"/>
          <w:szCs w:val="22"/>
        </w:rPr>
        <w:t xml:space="preserve">ón de justicia será gratuita y su funcionamiento </w:t>
      </w:r>
      <w:r w:rsidRPr="00CD7B09">
        <w:rPr>
          <w:rFonts w:ascii="Century Gothic" w:eastAsia="Garamond" w:hAnsi="Century Gothic" w:cs="Garamond"/>
          <w:sz w:val="22"/>
          <w:szCs w:val="22"/>
        </w:rPr>
        <w:t>estar</w:t>
      </w:r>
      <w:r w:rsidRPr="00CD7B09">
        <w:rPr>
          <w:rFonts w:ascii="Century Gothic" w:eastAsia="Helvetica" w:hAnsi="Century Gothic" w:cs="Helvetica"/>
          <w:sz w:val="22"/>
          <w:szCs w:val="22"/>
        </w:rPr>
        <w:t>á a cargo del Estado, sin perjuicio de las agencias en derecho, costas procesales, expensas y aranceles judiciales que se fijen de conformidad con la ley.</w:t>
      </w:r>
    </w:p>
    <w:p w14:paraId="226792B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7A74CDB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No podr</w:t>
      </w:r>
      <w:r w:rsidRPr="00CD7B09">
        <w:rPr>
          <w:rFonts w:ascii="Century Gothic" w:eastAsia="Helvetica" w:hAnsi="Century Gothic" w:cs="Helvetica"/>
          <w:sz w:val="22"/>
          <w:szCs w:val="22"/>
        </w:rPr>
        <w:t>á cobrarse arancel en los procedimientos de carácter penal, laboral, contencioso laboral</w:t>
      </w:r>
      <w:r w:rsidRPr="00CD7B09">
        <w:rPr>
          <w:rFonts w:ascii="Century Gothic" w:eastAsia="Garamond" w:hAnsi="Century Gothic" w:cs="Garamond"/>
          <w:sz w:val="22"/>
          <w:szCs w:val="22"/>
        </w:rPr>
        <w:t>, de familia, de menores, agrarios y rurales, que sean de naturaleza ordinaria o contenciosa administrativa, ni en las acciones p</w:t>
      </w:r>
      <w:r w:rsidRPr="00CD7B09">
        <w:rPr>
          <w:rFonts w:ascii="Century Gothic" w:eastAsia="Helvetica" w:hAnsi="Century Gothic" w:cs="Helvetica"/>
          <w:sz w:val="22"/>
          <w:szCs w:val="22"/>
        </w:rPr>
        <w:t xml:space="preserve">úblicas de constitucionalidad o los derivados del ejercicio de acciones de tutela, populares, de cumplimiento, habeas corpus y </w:t>
      </w:r>
      <w:r w:rsidRPr="00CD7B09">
        <w:rPr>
          <w:rFonts w:ascii="Century Gothic" w:eastAsia="Garamond" w:hAnsi="Century Gothic" w:cs="Garamond"/>
          <w:sz w:val="22"/>
          <w:szCs w:val="22"/>
        </w:rPr>
        <w:t>habeas data.</w:t>
      </w:r>
    </w:p>
    <w:p w14:paraId="6E0612F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Tampoco podr</w:t>
      </w:r>
      <w:r w:rsidRPr="00CD7B09">
        <w:rPr>
          <w:rFonts w:ascii="Century Gothic" w:eastAsia="Helvetica" w:hAnsi="Century Gothic" w:cs="Helvetica"/>
          <w:sz w:val="22"/>
          <w:szCs w:val="22"/>
        </w:rPr>
        <w:t>á cobrarse aranceles a las personas de escasos recursos cuando se decrete el amparo de pobreza o en aquellos procesos o actuaciones judiciales que determine la ley.</w:t>
      </w:r>
    </w:p>
    <w:p w14:paraId="7A12943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El arancel judicial constituir</w:t>
      </w:r>
      <w:r w:rsidRPr="00CD7B09">
        <w:rPr>
          <w:rFonts w:ascii="Century Gothic" w:eastAsia="Helvetica" w:hAnsi="Century Gothic" w:cs="Helvetica"/>
          <w:sz w:val="22"/>
          <w:szCs w:val="22"/>
        </w:rPr>
        <w:t>á un ingreso público a favor de la R</w:t>
      </w:r>
      <w:r w:rsidRPr="00CD7B09">
        <w:rPr>
          <w:rFonts w:ascii="Century Gothic" w:eastAsia="Garamond" w:hAnsi="Century Gothic" w:cs="Garamond"/>
          <w:sz w:val="22"/>
          <w:szCs w:val="22"/>
        </w:rPr>
        <w:t>ama Judicial.</w:t>
      </w:r>
    </w:p>
    <w:p w14:paraId="35CD50B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209E0F4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w:t>
      </w:r>
      <w:r w:rsidRPr="00CD7B09">
        <w:rPr>
          <w:rFonts w:ascii="Century Gothic" w:eastAsia="Helvetica" w:hAnsi="Century Gothic" w:cs="Helvetica"/>
          <w:sz w:val="22"/>
          <w:szCs w:val="22"/>
        </w:rPr>
        <w:t>ÁGRAFO PRIMERO. El legislador podrá establecer mecanismos que permitan a las entidades públicas contribuir a la financiación de la Rama Judicial.</w:t>
      </w:r>
    </w:p>
    <w:p w14:paraId="6ABD540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7C4EBCE8"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6.</w:t>
      </w:r>
      <w:r w:rsidRPr="00CD7B09">
        <w:rPr>
          <w:rFonts w:ascii="Century Gothic" w:eastAsia="Garamond" w:hAnsi="Century Gothic" w:cs="Garamond"/>
          <w:sz w:val="22"/>
          <w:szCs w:val="22"/>
        </w:rPr>
        <w:t xml:space="preserve">  El art</w:t>
      </w:r>
      <w:r w:rsidRPr="00CD7B09">
        <w:rPr>
          <w:rFonts w:ascii="Century Gothic" w:eastAsia="Helvetica" w:hAnsi="Century Gothic" w:cs="Helvetica"/>
          <w:sz w:val="22"/>
          <w:szCs w:val="22"/>
        </w:rPr>
        <w:t>ículo 8º de la Ley 270 de 1996 quedará así:</w:t>
      </w:r>
    </w:p>
    <w:p w14:paraId="73B1FAFA"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0DF63BD7"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w:t>
      </w:r>
      <w:r w:rsidRPr="00CD7B09">
        <w:rPr>
          <w:rFonts w:ascii="Century Gothic" w:eastAsia="Helvetica" w:hAnsi="Century Gothic" w:cs="Helvetica"/>
          <w:sz w:val="22"/>
          <w:szCs w:val="22"/>
        </w:rPr>
        <w:t xml:space="preserve">ículo 8. Mecanismos </w:t>
      </w:r>
      <w:r w:rsidRPr="00CD7B09">
        <w:rPr>
          <w:rFonts w:ascii="Century Gothic" w:eastAsia="Garamond" w:hAnsi="Century Gothic" w:cs="Garamond"/>
          <w:sz w:val="22"/>
          <w:szCs w:val="22"/>
        </w:rPr>
        <w:t>alternativos. La Ley podr</w:t>
      </w:r>
      <w:r w:rsidRPr="00CD7B09">
        <w:rPr>
          <w:rFonts w:ascii="Century Gothic" w:eastAsia="Helvetica" w:hAnsi="Century Gothic" w:cs="Helvetica"/>
          <w:sz w:val="22"/>
          <w:szCs w:val="22"/>
        </w:rPr>
        <w:t>á establecer mecanismos alternativos al proceso judicial para solucionar los conflictos que se presenten entre los asociados y señalará los casos en los cuales habrá lugar al cobro de honorarios por estos servicios.</w:t>
      </w:r>
    </w:p>
    <w:p w14:paraId="3A6253B0"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Excepcionalmente la ley podr</w:t>
      </w:r>
      <w:r w:rsidRPr="00CD7B09">
        <w:rPr>
          <w:rFonts w:ascii="Century Gothic" w:eastAsia="Helvetica" w:hAnsi="Century Gothic" w:cs="Helvetica"/>
          <w:sz w:val="22"/>
          <w:szCs w:val="22"/>
        </w:rPr>
        <w:t xml:space="preserve">á atribuir funciones jurisdiccionales a ciertas y determinadas autoridades administrativas para que conozcan de asuntos que por su naturaleza o cuantía puedan ser resueltos por aquellas de manera adecuada y eficaz. En tal caso la ley señalará </w:t>
      </w:r>
      <w:r w:rsidRPr="00CD7B09">
        <w:rPr>
          <w:rFonts w:ascii="Century Gothic" w:eastAsia="Garamond" w:hAnsi="Century Gothic" w:cs="Garamond"/>
          <w:sz w:val="22"/>
          <w:szCs w:val="22"/>
        </w:rPr>
        <w:t>las competencias, las garant</w:t>
      </w:r>
      <w:r w:rsidRPr="00CD7B09">
        <w:rPr>
          <w:rFonts w:ascii="Century Gothic" w:eastAsia="Helvetica" w:hAnsi="Century Gothic" w:cs="Helvetica"/>
          <w:sz w:val="22"/>
          <w:szCs w:val="22"/>
        </w:rPr>
        <w:t>ías al debido proceso y las demás condiciones necesarias para proteger en forma apropiada los derechos de las partes.</w:t>
      </w:r>
    </w:p>
    <w:p w14:paraId="693163B2"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26CA9EEC"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Los particulares podr</w:t>
      </w:r>
      <w:r w:rsidRPr="00CD7B09">
        <w:rPr>
          <w:rFonts w:ascii="Century Gothic" w:eastAsia="Helvetica" w:hAnsi="Century Gothic" w:cs="Helvetica"/>
          <w:sz w:val="22"/>
          <w:szCs w:val="22"/>
        </w:rPr>
        <w:t>án ser investidos transitoriamente de la función de administrar justicia en la condición</w:t>
      </w:r>
      <w:r w:rsidRPr="00CD7B09">
        <w:rPr>
          <w:rFonts w:ascii="Century Gothic" w:eastAsia="Garamond" w:hAnsi="Century Gothic" w:cs="Garamond"/>
          <w:sz w:val="22"/>
          <w:szCs w:val="22"/>
        </w:rPr>
        <w:t xml:space="preserve"> de conciliadores, amigables componedores, o en la de </w:t>
      </w:r>
      <w:r w:rsidRPr="00CD7B09">
        <w:rPr>
          <w:rFonts w:ascii="Century Gothic" w:eastAsia="Helvetica" w:hAnsi="Century Gothic" w:cs="Helvetica"/>
          <w:sz w:val="22"/>
          <w:szCs w:val="22"/>
        </w:rPr>
        <w:t>árbitros debidamente habilitados por las partes para proferir decisiones en derecho o en equidad.</w:t>
      </w:r>
    </w:p>
    <w:p w14:paraId="463F95DB"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1064CF66"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El Estado promover</w:t>
      </w:r>
      <w:r w:rsidRPr="00CD7B09">
        <w:rPr>
          <w:rFonts w:ascii="Century Gothic" w:eastAsia="Helvetica" w:hAnsi="Century Gothic" w:cs="Helvetica"/>
          <w:sz w:val="22"/>
          <w:szCs w:val="22"/>
        </w:rPr>
        <w:t>á por conducto de las autoridades judiciales y administrativas, el acceso a los mecan</w:t>
      </w:r>
      <w:r w:rsidRPr="00CD7B09">
        <w:rPr>
          <w:rFonts w:ascii="Century Gothic" w:eastAsia="Garamond" w:hAnsi="Century Gothic" w:cs="Garamond"/>
          <w:sz w:val="22"/>
          <w:szCs w:val="22"/>
        </w:rPr>
        <w:t>ismos alternativos, a los mecanismos administrativos y a aquellos donde los particulares administren justicia transitoriamente en las zonas urbanas y rurales atendiendo las caracter</w:t>
      </w:r>
      <w:r w:rsidRPr="00CD7B09">
        <w:rPr>
          <w:rFonts w:ascii="Century Gothic" w:eastAsia="Helvetica" w:hAnsi="Century Gothic" w:cs="Helvetica"/>
          <w:sz w:val="22"/>
          <w:szCs w:val="22"/>
        </w:rPr>
        <w:t>ísticas de la conflictividad existente y/o potencial, así como la caracteri</w:t>
      </w:r>
      <w:r w:rsidRPr="00CD7B09">
        <w:rPr>
          <w:rFonts w:ascii="Century Gothic" w:eastAsia="Garamond" w:hAnsi="Century Gothic" w:cs="Garamond"/>
          <w:sz w:val="22"/>
          <w:szCs w:val="22"/>
        </w:rPr>
        <w:t>zaci</w:t>
      </w:r>
      <w:r w:rsidRPr="00CD7B09">
        <w:rPr>
          <w:rFonts w:ascii="Century Gothic" w:eastAsia="Helvetica" w:hAnsi="Century Gothic" w:cs="Helvetica"/>
          <w:sz w:val="22"/>
          <w:szCs w:val="22"/>
        </w:rPr>
        <w:t>ón sociodemográfica y la presencia institucional y de actores que participan en la administración de justicia en cada territorio.</w:t>
      </w:r>
    </w:p>
    <w:p w14:paraId="0675318F"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58FAE296"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entidades p</w:t>
      </w:r>
      <w:r w:rsidRPr="00CD7B09">
        <w:rPr>
          <w:rFonts w:ascii="Century Gothic" w:eastAsia="Helvetica" w:hAnsi="Century Gothic" w:cs="Helvetica"/>
          <w:sz w:val="22"/>
          <w:szCs w:val="22"/>
        </w:rPr>
        <w:t>úblicas y privadas que gestionen los mecanismos alternativos de solución de conflictos deberán suministrar</w:t>
      </w:r>
      <w:r w:rsidRPr="00CD7B09">
        <w:rPr>
          <w:rFonts w:ascii="Century Gothic" w:eastAsia="Garamond" w:hAnsi="Century Gothic" w:cs="Garamond"/>
          <w:sz w:val="22"/>
          <w:szCs w:val="22"/>
        </w:rPr>
        <w:t xml:space="preserve"> peri</w:t>
      </w:r>
      <w:r w:rsidRPr="00CD7B09">
        <w:rPr>
          <w:rFonts w:ascii="Century Gothic" w:eastAsia="Helvetica" w:hAnsi="Century Gothic" w:cs="Helvetica"/>
          <w:sz w:val="22"/>
          <w:szCs w:val="22"/>
        </w:rPr>
        <w:t>ódicamente al Ministerio de Justicia y del Derecho, informes sobre su gestión, donde se detalle la información acerca del número, tipología y resu</w:t>
      </w:r>
      <w:r w:rsidRPr="00CD7B09">
        <w:rPr>
          <w:rFonts w:ascii="Century Gothic" w:eastAsia="Garamond" w:hAnsi="Century Gothic" w:cs="Garamond"/>
          <w:sz w:val="22"/>
          <w:szCs w:val="22"/>
        </w:rPr>
        <w:t>ltados de los asuntos atendidos, situaci</w:t>
      </w:r>
      <w:r w:rsidRPr="00CD7B09">
        <w:rPr>
          <w:rFonts w:ascii="Century Gothic" w:eastAsia="Helvetica" w:hAnsi="Century Gothic" w:cs="Helvetica"/>
          <w:sz w:val="22"/>
          <w:szCs w:val="22"/>
        </w:rPr>
        <w:t>ón que deberá ser reportada por la cartera ministerial al Congres</w:t>
      </w:r>
      <w:r w:rsidRPr="00CD7B09">
        <w:rPr>
          <w:rFonts w:ascii="Century Gothic" w:eastAsia="Garamond" w:hAnsi="Century Gothic" w:cs="Garamond"/>
          <w:sz w:val="22"/>
          <w:szCs w:val="22"/>
        </w:rPr>
        <w:t>o de la Rep</w:t>
      </w:r>
      <w:r w:rsidRPr="00CD7B09">
        <w:rPr>
          <w:rFonts w:ascii="Century Gothic" w:eastAsia="Helvetica" w:hAnsi="Century Gothic" w:cs="Helvetica"/>
          <w:sz w:val="22"/>
          <w:szCs w:val="22"/>
        </w:rPr>
        <w:t xml:space="preserve">ública cada dos (2) años con las recomendaciones a las que haya lugar. </w:t>
      </w:r>
    </w:p>
    <w:p w14:paraId="2BD371B4"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69BDDEB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7</w:t>
      </w:r>
      <w:r w:rsidRPr="00CD7B09">
        <w:rPr>
          <w:rFonts w:ascii="Century Gothic" w:eastAsia="Garamond" w:hAnsi="Century Gothic" w:cs="Garamond"/>
          <w:b/>
          <w:sz w:val="22"/>
          <w:szCs w:val="22"/>
        </w:rPr>
        <w:t>. Fuentes e Interpretaci</w:t>
      </w:r>
      <w:r w:rsidRPr="00CD7B09">
        <w:rPr>
          <w:rFonts w:ascii="Century Gothic" w:eastAsia="Helvetica" w:hAnsi="Century Gothic" w:cs="Helvetica"/>
          <w:b/>
          <w:sz w:val="22"/>
          <w:szCs w:val="22"/>
        </w:rPr>
        <w:t xml:space="preserve">ón de las Normas Procesales. </w:t>
      </w:r>
      <w:r w:rsidRPr="00CD7B09">
        <w:rPr>
          <w:rFonts w:ascii="Century Gothic" w:eastAsia="Garamond" w:hAnsi="Century Gothic" w:cs="Garamond"/>
          <w:sz w:val="22"/>
          <w:szCs w:val="22"/>
        </w:rPr>
        <w:t>Los jueces y magistrados aplicar</w:t>
      </w:r>
      <w:r w:rsidRPr="00CD7B09">
        <w:rPr>
          <w:rFonts w:ascii="Century Gothic" w:eastAsia="Helvetica" w:hAnsi="Century Gothic" w:cs="Helvetica"/>
          <w:sz w:val="22"/>
          <w:szCs w:val="22"/>
        </w:rPr>
        <w:t xml:space="preserve">án la ley sustancial teniendo en cuenta que el objeto de esta justicia </w:t>
      </w:r>
      <w:r w:rsidRPr="00CD7B09">
        <w:rPr>
          <w:rFonts w:ascii="Century Gothic" w:eastAsia="Garamond" w:hAnsi="Century Gothic" w:cs="Garamond"/>
          <w:sz w:val="22"/>
          <w:szCs w:val="22"/>
        </w:rPr>
        <w:t>especial agraria y rural consiste en conseguir la plena realizaci</w:t>
      </w:r>
      <w:r w:rsidRPr="00CD7B09">
        <w:rPr>
          <w:rFonts w:ascii="Century Gothic" w:eastAsia="Helvetica" w:hAnsi="Century Gothic" w:cs="Helvetica"/>
          <w:sz w:val="22"/>
          <w:szCs w:val="22"/>
        </w:rPr>
        <w:t>ón de la justicia en el área rural, en consonancia con los fines y principios constitucionales y los especiales del derecho agrario. También observarán en la aplicación legal, las disposicion</w:t>
      </w:r>
      <w:r w:rsidRPr="00CD7B09">
        <w:rPr>
          <w:rFonts w:ascii="Century Gothic" w:eastAsia="Garamond" w:hAnsi="Century Gothic" w:cs="Garamond"/>
          <w:sz w:val="22"/>
          <w:szCs w:val="22"/>
        </w:rPr>
        <w:t>es ambientales.</w:t>
      </w:r>
    </w:p>
    <w:p w14:paraId="34168BB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5FF9E46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Los jueces y magistrados interpretar</w:t>
      </w:r>
      <w:r w:rsidRPr="00CD7B09">
        <w:rPr>
          <w:rFonts w:ascii="Century Gothic" w:eastAsia="Helvetica" w:hAnsi="Century Gothic" w:cs="Helvetica"/>
          <w:sz w:val="22"/>
          <w:szCs w:val="22"/>
        </w:rPr>
        <w:t>án y aplicarán las disposiciones procesales en armonía con los principios que inspiran esta ley, la Constitución Política, los tratados y convenios internacionales debidamente ratificados</w:t>
      </w:r>
      <w:r w:rsidRPr="00CD7B09">
        <w:rPr>
          <w:rFonts w:ascii="Century Gothic" w:eastAsia="Garamond" w:hAnsi="Century Gothic" w:cs="Garamond"/>
          <w:sz w:val="22"/>
          <w:szCs w:val="22"/>
        </w:rPr>
        <w:t>, as</w:t>
      </w:r>
      <w:r w:rsidRPr="00CD7B09">
        <w:rPr>
          <w:rFonts w:ascii="Century Gothic" w:eastAsia="Helvetica" w:hAnsi="Century Gothic" w:cs="Helvetica"/>
          <w:sz w:val="22"/>
          <w:szCs w:val="22"/>
        </w:rPr>
        <w:t>í como las s</w:t>
      </w:r>
      <w:r w:rsidRPr="00CD7B09">
        <w:rPr>
          <w:rFonts w:ascii="Century Gothic" w:eastAsia="Garamond" w:hAnsi="Century Gothic" w:cs="Garamond"/>
          <w:sz w:val="22"/>
          <w:szCs w:val="22"/>
        </w:rPr>
        <w:t xml:space="preserve">entencias y opiniones consultivas que los </w:t>
      </w:r>
      <w:r w:rsidRPr="00CD7B09">
        <w:rPr>
          <w:rFonts w:ascii="Century Gothic" w:eastAsia="Helvetica" w:hAnsi="Century Gothic" w:cs="Helvetica"/>
          <w:sz w:val="22"/>
          <w:szCs w:val="22"/>
        </w:rPr>
        <w:t xml:space="preserve">órganos interpretativos de los mismos realicen en consultas y casos litigiosos de los cuales el Estado colombiano sea parte, </w:t>
      </w:r>
      <w:r w:rsidRPr="00CD7B09">
        <w:rPr>
          <w:rFonts w:ascii="Century Gothic" w:eastAsia="Garamond" w:hAnsi="Century Gothic" w:cs="Garamond"/>
          <w:sz w:val="22"/>
          <w:szCs w:val="22"/>
        </w:rPr>
        <w:t>en cuanto no se opongan a ellos, ni a los principios que orientan el sistema procesal colombiano.</w:t>
      </w:r>
    </w:p>
    <w:p w14:paraId="10BB70B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01DF487D"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La equidad, la jurisprudencia, los principios generales del derecho y la doctrina son criterios auxiliares de la actividad judicial, siempre y cuando no contravengan el objeto y los principios de la presente ley. No </w:t>
      </w:r>
      <w:proofErr w:type="gramStart"/>
      <w:r w:rsidRPr="00CD7B09">
        <w:rPr>
          <w:rFonts w:ascii="Century Gothic" w:eastAsia="Garamond" w:hAnsi="Century Gothic" w:cs="Garamond"/>
          <w:sz w:val="22"/>
          <w:szCs w:val="22"/>
        </w:rPr>
        <w:t>obstante</w:t>
      </w:r>
      <w:proofErr w:type="gramEnd"/>
      <w:r w:rsidRPr="00CD7B09">
        <w:rPr>
          <w:rFonts w:ascii="Century Gothic" w:eastAsia="Garamond" w:hAnsi="Century Gothic" w:cs="Garamond"/>
          <w:sz w:val="22"/>
          <w:szCs w:val="22"/>
        </w:rPr>
        <w:t xml:space="preserve"> lo anterior, se deber</w:t>
      </w:r>
      <w:r w:rsidRPr="00CD7B09">
        <w:rPr>
          <w:rFonts w:ascii="Century Gothic" w:eastAsia="Helvetica" w:hAnsi="Century Gothic" w:cs="Helvetica"/>
          <w:sz w:val="22"/>
          <w:szCs w:val="22"/>
        </w:rPr>
        <w:t>á cumplir con el precedente judicial según la definición dada por la Corte Constitucional, el Consejo de Estado y la Corte Suprema de Justicia.</w:t>
      </w:r>
    </w:p>
    <w:p w14:paraId="6DECA57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2A95DAE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8</w:t>
      </w:r>
      <w:r w:rsidRPr="00CD7B09">
        <w:rPr>
          <w:rFonts w:ascii="Century Gothic" w:eastAsia="Garamond" w:hAnsi="Century Gothic" w:cs="Garamond"/>
          <w:b/>
          <w:sz w:val="22"/>
          <w:szCs w:val="22"/>
        </w:rPr>
        <w:t>. Participaci</w:t>
      </w:r>
      <w:r w:rsidRPr="00CD7B09">
        <w:rPr>
          <w:rFonts w:ascii="Century Gothic" w:eastAsia="Helvetica" w:hAnsi="Century Gothic" w:cs="Helvetica"/>
          <w:b/>
          <w:sz w:val="22"/>
          <w:szCs w:val="22"/>
        </w:rPr>
        <w:t xml:space="preserve">ón del Ministerio Público. </w:t>
      </w:r>
      <w:r w:rsidRPr="00CD7B09">
        <w:rPr>
          <w:rFonts w:ascii="Century Gothic" w:eastAsia="Garamond" w:hAnsi="Century Gothic" w:cs="Garamond"/>
          <w:sz w:val="22"/>
          <w:szCs w:val="22"/>
        </w:rPr>
        <w:t>El Ministerio P</w:t>
      </w:r>
      <w:r w:rsidRPr="00CD7B09">
        <w:rPr>
          <w:rFonts w:ascii="Century Gothic" w:eastAsia="Helvetica" w:hAnsi="Century Gothic" w:cs="Helvetica"/>
          <w:sz w:val="22"/>
          <w:szCs w:val="22"/>
        </w:rPr>
        <w:t>úblico, en cabeza de la Procuraduría Gene</w:t>
      </w:r>
      <w:r w:rsidRPr="00CD7B09">
        <w:rPr>
          <w:rFonts w:ascii="Century Gothic" w:eastAsia="Garamond" w:hAnsi="Century Gothic" w:cs="Garamond"/>
          <w:sz w:val="22"/>
          <w:szCs w:val="22"/>
        </w:rPr>
        <w:t>ral de la Naci</w:t>
      </w:r>
      <w:r w:rsidRPr="00CD7B09">
        <w:rPr>
          <w:rFonts w:ascii="Century Gothic" w:eastAsia="Helvetica" w:hAnsi="Century Gothic" w:cs="Helvetica"/>
          <w:sz w:val="22"/>
          <w:szCs w:val="22"/>
        </w:rPr>
        <w:t>ón, intervendrá de oficio o a solicitud de parte en cualquier etapa del proceso agrario y rural. Su intervención se realizará a través de los funcionarios o agentes competentes de acuerdo con las funciones y competencias de la entidad. Para e</w:t>
      </w:r>
      <w:r w:rsidRPr="00CD7B09">
        <w:rPr>
          <w:rFonts w:ascii="Century Gothic" w:eastAsia="Garamond" w:hAnsi="Century Gothic" w:cs="Garamond"/>
          <w:sz w:val="22"/>
          <w:szCs w:val="22"/>
        </w:rPr>
        <w:t>l efecto, le ser</w:t>
      </w:r>
      <w:r w:rsidRPr="00CD7B09">
        <w:rPr>
          <w:rFonts w:ascii="Century Gothic" w:eastAsia="Helvetica" w:hAnsi="Century Gothic" w:cs="Helvetica"/>
          <w:sz w:val="22"/>
          <w:szCs w:val="22"/>
        </w:rPr>
        <w:t>á notificada la providencia que dé inicio al proceso.</w:t>
      </w:r>
    </w:p>
    <w:p w14:paraId="51FC5BC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595A15D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Igualmente, la Procuradur</w:t>
      </w:r>
      <w:r w:rsidRPr="00CD7B09">
        <w:rPr>
          <w:rFonts w:ascii="Century Gothic" w:eastAsia="Helvetica" w:hAnsi="Century Gothic" w:cs="Helvetica"/>
          <w:sz w:val="22"/>
          <w:szCs w:val="22"/>
        </w:rPr>
        <w:t>ía General de la Nación puede conceptuar respecto del objeto del litigio en cualquier etapa procesal siendo obligatorio para el juez pronunciarse sobre dicho co</w:t>
      </w:r>
      <w:r w:rsidRPr="00CD7B09">
        <w:rPr>
          <w:rFonts w:ascii="Century Gothic" w:eastAsia="Garamond" w:hAnsi="Century Gothic" w:cs="Garamond"/>
          <w:sz w:val="22"/>
          <w:szCs w:val="22"/>
        </w:rPr>
        <w:t>ncepto.</w:t>
      </w:r>
    </w:p>
    <w:p w14:paraId="7005DC6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2BE57E2A"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9</w:t>
      </w:r>
      <w:r w:rsidRPr="00CD7B09">
        <w:rPr>
          <w:rFonts w:ascii="Century Gothic" w:eastAsia="Garamond" w:hAnsi="Century Gothic" w:cs="Garamond"/>
          <w:b/>
          <w:sz w:val="22"/>
          <w:szCs w:val="22"/>
        </w:rPr>
        <w:t xml:space="preserve">. Itinerancia. </w:t>
      </w:r>
      <w:r w:rsidRPr="00CD7B09">
        <w:rPr>
          <w:rFonts w:ascii="Century Gothic" w:eastAsia="Garamond" w:hAnsi="Century Gothic" w:cs="Garamond"/>
          <w:sz w:val="22"/>
          <w:szCs w:val="22"/>
        </w:rPr>
        <w:t>Los despachos judiciales rurales y agrarios podr</w:t>
      </w:r>
      <w:r w:rsidRPr="00CD7B09">
        <w:rPr>
          <w:rFonts w:ascii="Century Gothic" w:eastAsia="Helvetica" w:hAnsi="Century Gothic" w:cs="Helvetica"/>
          <w:sz w:val="22"/>
          <w:szCs w:val="22"/>
        </w:rPr>
        <w:t>án ejercer sus funciones y competencias de manera itinerante en todo el territorio nacional, de acuerdo con la reglamentación que expida el Consejo Superior de la Judicatura,</w:t>
      </w:r>
      <w:r w:rsidRPr="00CD7B09">
        <w:rPr>
          <w:rFonts w:ascii="Century Gothic" w:eastAsia="Garamond" w:hAnsi="Century Gothic" w:cs="Garamond"/>
          <w:sz w:val="22"/>
          <w:szCs w:val="22"/>
        </w:rPr>
        <w:t xml:space="preserve"> teniendo en cuenta aspectos como la mayor demanda de justicia, la necesidad de una mayor frecuencia o permanencia de los despachos judiciales rurales y agrarios, de la colindancia de corregimientos y la complejidad de los asuntos a decidir y lo dispuesto en la Ley Estatutaria de Administraci</w:t>
      </w:r>
      <w:r w:rsidRPr="00CD7B09">
        <w:rPr>
          <w:rFonts w:ascii="Century Gothic" w:eastAsia="Helvetica" w:hAnsi="Century Gothic" w:cs="Helvetica"/>
          <w:sz w:val="22"/>
          <w:szCs w:val="22"/>
        </w:rPr>
        <w:t>ón de Justicia.</w:t>
      </w:r>
    </w:p>
    <w:p w14:paraId="1E25D8D1"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w:t>
      </w:r>
      <w:r w:rsidRPr="00CD7B09">
        <w:rPr>
          <w:rFonts w:ascii="Century Gothic" w:eastAsia="Helvetica" w:hAnsi="Century Gothic" w:cs="Helvetica"/>
          <w:sz w:val="22"/>
          <w:szCs w:val="22"/>
        </w:rPr>
        <w:t>ágrafo 1. El Consejo Superior de la Judicatura tendrá un término de 6 meses acorde al artículo 124 de la presente ley para la creación de los juzgados itinerante</w:t>
      </w:r>
      <w:r w:rsidRPr="00CD7B09">
        <w:rPr>
          <w:rFonts w:ascii="Century Gothic" w:eastAsia="Garamond" w:hAnsi="Century Gothic" w:cs="Garamond"/>
          <w:sz w:val="22"/>
          <w:szCs w:val="22"/>
        </w:rPr>
        <w:t>s de la especialidad agraria y rural de las que trata el presente art</w:t>
      </w:r>
      <w:r w:rsidRPr="00CD7B09">
        <w:rPr>
          <w:rFonts w:ascii="Century Gothic" w:eastAsia="Helvetica" w:hAnsi="Century Gothic" w:cs="Helvetica"/>
          <w:sz w:val="22"/>
          <w:szCs w:val="22"/>
        </w:rPr>
        <w:t>ículo.</w:t>
      </w:r>
    </w:p>
    <w:p w14:paraId="2CFB8F50"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49B5AB2E"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w:t>
      </w:r>
      <w:r w:rsidRPr="00CD7B09">
        <w:rPr>
          <w:rFonts w:ascii="Century Gothic" w:eastAsia="Helvetica" w:hAnsi="Century Gothic" w:cs="Helvetica"/>
          <w:sz w:val="22"/>
          <w:szCs w:val="22"/>
        </w:rPr>
        <w:t>ágrafo 2. El Consejo Superior de la Judicatura priorizará la creación de juzgados itinerantes de la especialidad agraria y rural en las zonas PDET</w:t>
      </w:r>
      <w:r w:rsidRPr="00CD7B09">
        <w:rPr>
          <w:rFonts w:ascii="Century Gothic" w:eastAsia="Garamond" w:hAnsi="Century Gothic" w:cs="Garamond"/>
          <w:sz w:val="22"/>
          <w:szCs w:val="22"/>
        </w:rPr>
        <w:t xml:space="preserve"> de las que trata el art</w:t>
      </w:r>
      <w:r w:rsidRPr="00CD7B09">
        <w:rPr>
          <w:rFonts w:ascii="Century Gothic" w:eastAsia="Helvetica" w:hAnsi="Century Gothic" w:cs="Helvetica"/>
          <w:sz w:val="22"/>
          <w:szCs w:val="22"/>
        </w:rPr>
        <w:t>ículo 1</w:t>
      </w:r>
      <w:r w:rsidRPr="00CD7B09">
        <w:rPr>
          <w:rFonts w:ascii="Century Gothic" w:eastAsia="Garamond" w:hAnsi="Century Gothic" w:cs="Garamond"/>
          <w:sz w:val="22"/>
          <w:szCs w:val="22"/>
        </w:rPr>
        <w:t>0 de la presente ley.</w:t>
      </w:r>
    </w:p>
    <w:p w14:paraId="5974E99D"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7533071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10</w:t>
      </w:r>
      <w:r w:rsidRPr="00CD7B09">
        <w:rPr>
          <w:rFonts w:ascii="Century Gothic" w:eastAsia="Garamond" w:hAnsi="Century Gothic" w:cs="Garamond"/>
          <w:b/>
          <w:sz w:val="22"/>
          <w:szCs w:val="22"/>
        </w:rPr>
        <w:t xml:space="preserve">. Itinerancia en zonas focalizadas. </w:t>
      </w:r>
      <w:r w:rsidRPr="00CD7B09">
        <w:rPr>
          <w:rFonts w:ascii="Century Gothic" w:eastAsia="Garamond" w:hAnsi="Century Gothic" w:cs="Garamond"/>
          <w:sz w:val="22"/>
          <w:szCs w:val="22"/>
        </w:rPr>
        <w:t>Los jueces agrarios y rurales de la jurisdicci</w:t>
      </w:r>
      <w:r w:rsidRPr="00CD7B09">
        <w:rPr>
          <w:rFonts w:ascii="Century Gothic" w:eastAsia="Helvetica" w:hAnsi="Century Gothic" w:cs="Helvetica"/>
          <w:sz w:val="22"/>
          <w:szCs w:val="22"/>
        </w:rPr>
        <w:t>ón ordinaria y los jueces agrarios y rurales administrativos de la jurisdicción de lo contencioso administrativo, con base en la competencia</w:t>
      </w:r>
      <w:r w:rsidRPr="00CD7B09">
        <w:rPr>
          <w:rFonts w:ascii="Century Gothic" w:eastAsia="Garamond" w:hAnsi="Century Gothic" w:cs="Garamond"/>
          <w:sz w:val="22"/>
          <w:szCs w:val="22"/>
        </w:rPr>
        <w:t xml:space="preserve"> que les asigna la presente ley se desplazar</w:t>
      </w:r>
      <w:r w:rsidRPr="00CD7B09">
        <w:rPr>
          <w:rFonts w:ascii="Century Gothic" w:eastAsia="Helvetica" w:hAnsi="Century Gothic" w:cs="Helvetica"/>
          <w:sz w:val="22"/>
          <w:szCs w:val="22"/>
        </w:rPr>
        <w:t>án a los municipios definidos en el Decreto Ley 893 de 2017, por el cual se crean los programas de desarrollo con enfoque territorial -PDET-, y a los municipios de mayor conflictividad rural y agraria en el país,</w:t>
      </w:r>
      <w:r w:rsidRPr="00CD7B09">
        <w:rPr>
          <w:rFonts w:ascii="Century Gothic" w:eastAsia="Garamond" w:hAnsi="Century Gothic" w:cs="Garamond"/>
          <w:sz w:val="22"/>
          <w:szCs w:val="22"/>
        </w:rPr>
        <w:t xml:space="preserve"> sin perjuicio de la ampliaci</w:t>
      </w:r>
      <w:r w:rsidRPr="00CD7B09">
        <w:rPr>
          <w:rFonts w:ascii="Century Gothic" w:eastAsia="Helvetica" w:hAnsi="Century Gothic" w:cs="Helvetica"/>
          <w:sz w:val="22"/>
          <w:szCs w:val="22"/>
        </w:rPr>
        <w:t>ón progresiva de la cobertura en todo el territorio, y que se les hubiere asignado por el Consejo Superior de la Judicatura, con el fin de adelantar los asuntos de su competencia.</w:t>
      </w:r>
    </w:p>
    <w:p w14:paraId="092E1BF7"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48F38442"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11</w:t>
      </w:r>
      <w:r w:rsidRPr="00CD7B09">
        <w:rPr>
          <w:rFonts w:ascii="Century Gothic" w:eastAsia="Garamond" w:hAnsi="Century Gothic" w:cs="Garamond"/>
          <w:b/>
          <w:sz w:val="22"/>
          <w:szCs w:val="22"/>
        </w:rPr>
        <w:t xml:space="preserve">. Poderes y deberes del juez. </w:t>
      </w:r>
      <w:r w:rsidRPr="00CD7B09">
        <w:rPr>
          <w:rFonts w:ascii="Century Gothic" w:eastAsia="Garamond" w:hAnsi="Century Gothic" w:cs="Garamond"/>
          <w:sz w:val="22"/>
          <w:szCs w:val="22"/>
        </w:rPr>
        <w:t>Sin perjuicio de los dem</w:t>
      </w:r>
      <w:r w:rsidRPr="00CD7B09">
        <w:rPr>
          <w:rFonts w:ascii="Century Gothic" w:eastAsia="Helvetica" w:hAnsi="Century Gothic" w:cs="Helvetica"/>
          <w:sz w:val="22"/>
          <w:szCs w:val="22"/>
        </w:rPr>
        <w:t xml:space="preserve">ás poderes y deberes que la ley les confiere, para garantizar el cumplimiento del objeto, la finalidad y los principios del presente proceso, el juez tendrá los </w:t>
      </w:r>
      <w:r w:rsidRPr="00CD7B09">
        <w:rPr>
          <w:rFonts w:ascii="Century Gothic" w:eastAsia="Garamond" w:hAnsi="Century Gothic" w:cs="Garamond"/>
          <w:sz w:val="22"/>
          <w:szCs w:val="22"/>
        </w:rPr>
        <w:t>siguientes poderes especiales:</w:t>
      </w:r>
    </w:p>
    <w:p w14:paraId="4125B44A" w14:textId="77777777" w:rsidR="00CB1679" w:rsidRPr="00CD7B09" w:rsidRDefault="00CB1679" w:rsidP="00CB1679">
      <w:pPr>
        <w:widowControl w:val="0"/>
        <w:numPr>
          <w:ilvl w:val="0"/>
          <w:numId w:val="16"/>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Acceder en forma permanente, </w:t>
      </w:r>
      <w:r w:rsidRPr="00CD7B09">
        <w:rPr>
          <w:rFonts w:ascii="Century Gothic" w:eastAsia="Helvetica" w:hAnsi="Century Gothic" w:cs="Helvetica"/>
          <w:sz w:val="22"/>
          <w:szCs w:val="22"/>
        </w:rPr>
        <w:t>ágil y oportuna a los registros y bases de datos necesarias, con el fin de verificar la situación del inmueble objeto del proceso o para suplir cualquier deficiencia de la demanda, sus anexos o re</w:t>
      </w:r>
      <w:r w:rsidRPr="00CD7B09">
        <w:rPr>
          <w:rFonts w:ascii="Century Gothic" w:eastAsia="Garamond" w:hAnsi="Century Gothic" w:cs="Garamond"/>
          <w:sz w:val="22"/>
          <w:szCs w:val="22"/>
        </w:rPr>
        <w:t>quisitos.</w:t>
      </w:r>
    </w:p>
    <w:p w14:paraId="5E824C54" w14:textId="77777777" w:rsidR="00CB1679" w:rsidRPr="00CD7B09" w:rsidRDefault="00CB1679" w:rsidP="00CB1679">
      <w:pPr>
        <w:widowControl w:val="0"/>
        <w:numPr>
          <w:ilvl w:val="0"/>
          <w:numId w:val="16"/>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Propender por el uso privilegiado de Mecanismos Alternativos de Soluci</w:t>
      </w:r>
      <w:r w:rsidRPr="00CD7B09">
        <w:rPr>
          <w:rFonts w:ascii="Century Gothic" w:eastAsia="Helvetica" w:hAnsi="Century Gothic" w:cs="Helvetica"/>
          <w:sz w:val="22"/>
          <w:szCs w:val="22"/>
        </w:rPr>
        <w:t>ón de Conflictos.</w:t>
      </w:r>
    </w:p>
    <w:p w14:paraId="47B71D5D" w14:textId="77777777" w:rsidR="00CB1679" w:rsidRPr="00CD7B09" w:rsidRDefault="00CB1679" w:rsidP="00CB1679">
      <w:pPr>
        <w:widowControl w:val="0"/>
        <w:numPr>
          <w:ilvl w:val="0"/>
          <w:numId w:val="16"/>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Desechar actuaciones y diligencias in</w:t>
      </w:r>
      <w:r w:rsidRPr="00CD7B09">
        <w:rPr>
          <w:rFonts w:ascii="Century Gothic" w:eastAsia="Helvetica" w:hAnsi="Century Gothic" w:cs="Helvetica"/>
          <w:sz w:val="22"/>
          <w:szCs w:val="22"/>
        </w:rPr>
        <w:t xml:space="preserve">útiles y rechazar solicitudes, incidentes y pruebas improcedentes o inconducentes, recursos que no estén legalmente </w:t>
      </w:r>
      <w:r w:rsidRPr="00CD7B09">
        <w:rPr>
          <w:rFonts w:ascii="Century Gothic" w:eastAsia="Garamond" w:hAnsi="Century Gothic" w:cs="Garamond"/>
          <w:sz w:val="22"/>
          <w:szCs w:val="22"/>
        </w:rPr>
        <w:t>autorizados y todo medio de car</w:t>
      </w:r>
      <w:r w:rsidRPr="00CD7B09">
        <w:rPr>
          <w:rFonts w:ascii="Century Gothic" w:eastAsia="Helvetica" w:hAnsi="Century Gothic" w:cs="Helvetica"/>
          <w:sz w:val="22"/>
          <w:szCs w:val="22"/>
        </w:rPr>
        <w:t>ácter dilatorio.</w:t>
      </w:r>
    </w:p>
    <w:p w14:paraId="56EE535F" w14:textId="77777777" w:rsidR="00CB1679" w:rsidRPr="00CD7B09" w:rsidRDefault="00CB1679" w:rsidP="00CB1679">
      <w:pPr>
        <w:widowControl w:val="0"/>
        <w:numPr>
          <w:ilvl w:val="0"/>
          <w:numId w:val="16"/>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Precaver, cuando tome medidas en relaci</w:t>
      </w:r>
      <w:r w:rsidRPr="00CD7B09">
        <w:rPr>
          <w:rFonts w:ascii="Century Gothic" w:eastAsia="Helvetica" w:hAnsi="Century Gothic" w:cs="Helvetica"/>
          <w:sz w:val="22"/>
          <w:szCs w:val="22"/>
        </w:rPr>
        <w:t>ón con un inmueble, los riesgos consiguientes de la suspensión de la explotación de este, con base en los conceptos técnicos o las pruebas aportadas previamente por la p</w:t>
      </w:r>
      <w:r w:rsidRPr="00CD7B09">
        <w:rPr>
          <w:rFonts w:ascii="Century Gothic" w:eastAsia="Garamond" w:hAnsi="Century Gothic" w:cs="Garamond"/>
          <w:sz w:val="22"/>
          <w:szCs w:val="22"/>
        </w:rPr>
        <w:t>arte afectada.</w:t>
      </w:r>
    </w:p>
    <w:p w14:paraId="10015482" w14:textId="77777777" w:rsidR="00CB1679" w:rsidRPr="00CD7B09" w:rsidRDefault="00CB1679" w:rsidP="00CB1679">
      <w:pPr>
        <w:widowControl w:val="0"/>
        <w:numPr>
          <w:ilvl w:val="0"/>
          <w:numId w:val="16"/>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Decretar las medidas cautelares en los t</w:t>
      </w:r>
      <w:r w:rsidRPr="00CD7B09">
        <w:rPr>
          <w:rFonts w:ascii="Century Gothic" w:eastAsia="Helvetica" w:hAnsi="Century Gothic" w:cs="Helvetica"/>
          <w:sz w:val="22"/>
          <w:szCs w:val="22"/>
        </w:rPr>
        <w:t>érminos de esta ley.</w:t>
      </w:r>
    </w:p>
    <w:p w14:paraId="1E13AF68" w14:textId="77777777" w:rsidR="00CB1679" w:rsidRPr="00CD7B09" w:rsidRDefault="00CB1679" w:rsidP="00CB1679">
      <w:pPr>
        <w:widowControl w:val="0"/>
        <w:numPr>
          <w:ilvl w:val="0"/>
          <w:numId w:val="16"/>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Verificar que el allanamiento a la demanda, su desistimiento o la transacci</w:t>
      </w:r>
      <w:r w:rsidRPr="00CD7B09">
        <w:rPr>
          <w:rFonts w:ascii="Century Gothic" w:eastAsia="Helvetica" w:hAnsi="Century Gothic" w:cs="Helvetica"/>
          <w:sz w:val="22"/>
          <w:szCs w:val="22"/>
        </w:rPr>
        <w:t>ón se hayan realizado de modo libre y sin vicios del consentimiento.</w:t>
      </w:r>
    </w:p>
    <w:p w14:paraId="743CFAC0" w14:textId="77777777" w:rsidR="00CB1679" w:rsidRPr="00CD7B09" w:rsidRDefault="00CB1679" w:rsidP="00CB1679">
      <w:pPr>
        <w:widowControl w:val="0"/>
        <w:numPr>
          <w:ilvl w:val="0"/>
          <w:numId w:val="16"/>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Procurar que no se desvirt</w:t>
      </w:r>
      <w:r w:rsidRPr="00CD7B09">
        <w:rPr>
          <w:rFonts w:ascii="Century Gothic" w:eastAsia="Helvetica" w:hAnsi="Century Gothic" w:cs="Helvetica"/>
          <w:sz w:val="22"/>
          <w:szCs w:val="22"/>
        </w:rPr>
        <w:t>úen los pr</w:t>
      </w:r>
      <w:r w:rsidRPr="00CD7B09">
        <w:rPr>
          <w:rFonts w:ascii="Century Gothic" w:eastAsia="Garamond" w:hAnsi="Century Gothic" w:cs="Garamond"/>
          <w:sz w:val="22"/>
          <w:szCs w:val="22"/>
        </w:rPr>
        <w:t>incipios a que se refiere esta ley, en especial lo atinentes a la igualdad real de las partes ante la justicia, la simplicidad, concentraci</w:t>
      </w:r>
      <w:r w:rsidRPr="00CD7B09">
        <w:rPr>
          <w:rFonts w:ascii="Century Gothic" w:eastAsia="Helvetica" w:hAnsi="Century Gothic" w:cs="Helvetica"/>
          <w:sz w:val="22"/>
          <w:szCs w:val="22"/>
        </w:rPr>
        <w:t>ón y brevedad de las actuaciones, la aplicación de los enfoques diferenciales y, por ende, la celeridad de los proces</w:t>
      </w:r>
      <w:r w:rsidRPr="00CD7B09">
        <w:rPr>
          <w:rFonts w:ascii="Century Gothic" w:eastAsia="Garamond" w:hAnsi="Century Gothic" w:cs="Garamond"/>
          <w:sz w:val="22"/>
          <w:szCs w:val="22"/>
        </w:rPr>
        <w:t>os, cuya suspensi</w:t>
      </w:r>
      <w:r w:rsidRPr="00CD7B09">
        <w:rPr>
          <w:rFonts w:ascii="Century Gothic" w:eastAsia="Helvetica" w:hAnsi="Century Gothic" w:cs="Helvetica"/>
          <w:sz w:val="22"/>
          <w:szCs w:val="22"/>
        </w:rPr>
        <w:t>ón o retardo debe impedir, dándoles el impulso necesario, como también los relativos a la inmediación del juez y sana crítica en la apreciación de la prueba, todo ello sin menoscabo del principio fundamental del debido proceso.</w:t>
      </w:r>
    </w:p>
    <w:p w14:paraId="626C8D03" w14:textId="77777777" w:rsidR="00CB1679" w:rsidRPr="00CD7B09" w:rsidRDefault="00CB1679" w:rsidP="00CB1679">
      <w:pPr>
        <w:widowControl w:val="0"/>
        <w:numPr>
          <w:ilvl w:val="0"/>
          <w:numId w:val="16"/>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Priorizar la atenci</w:t>
      </w:r>
      <w:r w:rsidRPr="00CD7B09">
        <w:rPr>
          <w:rFonts w:ascii="Century Gothic" w:eastAsia="Helvetica" w:hAnsi="Century Gothic" w:cs="Helvetica"/>
          <w:sz w:val="22"/>
          <w:szCs w:val="22"/>
        </w:rPr>
        <w:t>ón de la mujer rural en razón a la calidad de especial protección del sujeto, por lo cual deberá caracterizar el grupo familiar de las partes procesales.</w:t>
      </w:r>
    </w:p>
    <w:p w14:paraId="796A904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082D7B4A"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T</w:t>
      </w:r>
      <w:r w:rsidRPr="00CD7B09">
        <w:rPr>
          <w:rFonts w:ascii="Century Gothic" w:eastAsia="Helvetica" w:hAnsi="Century Gothic" w:cs="Helvetica"/>
          <w:b/>
          <w:sz w:val="22"/>
          <w:szCs w:val="22"/>
        </w:rPr>
        <w:t>ÍTULO II</w:t>
      </w:r>
    </w:p>
    <w:p w14:paraId="53DF7FA7"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INTEGRACI</w:t>
      </w:r>
      <w:r w:rsidRPr="00CD7B09">
        <w:rPr>
          <w:rFonts w:ascii="Century Gothic" w:eastAsia="Helvetica" w:hAnsi="Century Gothic" w:cs="Helvetica"/>
          <w:b/>
          <w:sz w:val="22"/>
          <w:szCs w:val="22"/>
        </w:rPr>
        <w:t>ÓN DE LA ESPECIALIDAD AGRARIA</w:t>
      </w:r>
    </w:p>
    <w:p w14:paraId="4031053B"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p>
    <w:p w14:paraId="33A280ED" w14:textId="77777777" w:rsidR="00CB1679" w:rsidRPr="00CD7B09" w:rsidRDefault="00CB1679" w:rsidP="00CB1679">
      <w:pPr>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12</w:t>
      </w:r>
      <w:r w:rsidRPr="00CD7B09">
        <w:rPr>
          <w:rFonts w:ascii="Century Gothic" w:eastAsia="Garamond" w:hAnsi="Century Gothic" w:cs="Garamond"/>
          <w:b/>
          <w:sz w:val="22"/>
          <w:szCs w:val="22"/>
        </w:rPr>
        <w:t>. Integraci</w:t>
      </w:r>
      <w:r w:rsidRPr="00CD7B09">
        <w:rPr>
          <w:rFonts w:ascii="Century Gothic" w:eastAsia="Helvetica" w:hAnsi="Century Gothic" w:cs="Helvetica"/>
          <w:b/>
          <w:sz w:val="22"/>
          <w:szCs w:val="22"/>
        </w:rPr>
        <w:t xml:space="preserve">ón de la Especialidad Agraria y Rural en la Jurisdicción Ordinaria. </w:t>
      </w:r>
      <w:r w:rsidRPr="00CD7B09">
        <w:rPr>
          <w:rFonts w:ascii="Century Gothic" w:eastAsia="Garamond" w:hAnsi="Century Gothic" w:cs="Garamond"/>
          <w:sz w:val="22"/>
          <w:szCs w:val="22"/>
        </w:rPr>
        <w:t>La Jurisdicci</w:t>
      </w:r>
      <w:r w:rsidRPr="00CD7B09">
        <w:rPr>
          <w:rFonts w:ascii="Century Gothic" w:eastAsia="Helvetica" w:hAnsi="Century Gothic" w:cs="Helvetica"/>
          <w:sz w:val="22"/>
          <w:szCs w:val="22"/>
        </w:rPr>
        <w:t>ón Ordinaria, en su Especialidad Agraria y Rural, se integrará de la siguiente forma:</w:t>
      </w:r>
    </w:p>
    <w:p w14:paraId="7C38CB6D" w14:textId="77777777" w:rsidR="00CB1679" w:rsidRPr="00CD7B09" w:rsidRDefault="00CB1679" w:rsidP="00CB1679">
      <w:pPr>
        <w:ind w:right="49"/>
        <w:jc w:val="both"/>
        <w:rPr>
          <w:rFonts w:ascii="Century Gothic" w:eastAsia="Garamond" w:hAnsi="Century Gothic" w:cs="Garamond"/>
          <w:sz w:val="22"/>
          <w:szCs w:val="22"/>
        </w:rPr>
      </w:pPr>
    </w:p>
    <w:p w14:paraId="29E111CE" w14:textId="77777777" w:rsidR="00CB1679" w:rsidRPr="00CD7B09" w:rsidRDefault="00CB1679" w:rsidP="00CB1679">
      <w:pP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1. La Sala de Casaci</w:t>
      </w:r>
      <w:r w:rsidRPr="00CD7B09">
        <w:rPr>
          <w:rFonts w:ascii="Century Gothic" w:eastAsia="Helvetica" w:hAnsi="Century Gothic" w:cs="Helvetica"/>
          <w:sz w:val="22"/>
          <w:szCs w:val="22"/>
        </w:rPr>
        <w:t>ón Civil, Agraria y Rural de la Corte Suprema de Justicia</w:t>
      </w:r>
      <w:r w:rsidRPr="00CD7B09">
        <w:rPr>
          <w:rFonts w:ascii="Century Gothic" w:eastAsia="Garamond" w:hAnsi="Century Gothic" w:cs="Garamond"/>
          <w:sz w:val="22"/>
          <w:szCs w:val="22"/>
        </w:rPr>
        <w:t>.</w:t>
      </w:r>
    </w:p>
    <w:p w14:paraId="3A74D365" w14:textId="77777777" w:rsidR="00CB1679" w:rsidRPr="00CD7B09" w:rsidRDefault="00CB1679" w:rsidP="00CB1679">
      <w:pP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2. Las Salas Agrarias y Rurales de los Tribunales Superiores de Distrito Judicial.</w:t>
      </w:r>
    </w:p>
    <w:p w14:paraId="2EDE8F14" w14:textId="77777777" w:rsidR="00CB1679" w:rsidRPr="00CD7B09" w:rsidRDefault="00CB1679" w:rsidP="00CB1679">
      <w:pP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3. Los juzgados agrarios y rurales del Circuito.</w:t>
      </w:r>
    </w:p>
    <w:p w14:paraId="2B23AD63" w14:textId="77777777" w:rsidR="00CB1679" w:rsidRPr="00CD7B09" w:rsidRDefault="00CB1679" w:rsidP="00CB1679">
      <w:pPr>
        <w:widowControl w:val="0"/>
        <w:pBdr>
          <w:top w:val="nil"/>
          <w:left w:val="nil"/>
          <w:bottom w:val="nil"/>
          <w:right w:val="nil"/>
          <w:between w:val="nil"/>
        </w:pBdr>
        <w:tabs>
          <w:tab w:val="left" w:pos="483"/>
          <w:tab w:val="left" w:pos="708"/>
          <w:tab w:val="left" w:pos="1416"/>
          <w:tab w:val="left" w:pos="2124"/>
          <w:tab w:val="left" w:pos="2832"/>
          <w:tab w:val="left" w:pos="3540"/>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4. Los juzgados civiles municipales, que tambi</w:t>
      </w:r>
      <w:r w:rsidRPr="00CD7B09">
        <w:rPr>
          <w:rFonts w:ascii="Century Gothic" w:eastAsia="Helvetica" w:hAnsi="Century Gothic" w:cs="Helvetica"/>
          <w:sz w:val="22"/>
          <w:szCs w:val="22"/>
        </w:rPr>
        <w:t>én ejercerán competencias agrarias y rurales, y los juzgados promiscuos</w:t>
      </w:r>
      <w:r w:rsidRPr="00CD7B09">
        <w:rPr>
          <w:rFonts w:ascii="Century Gothic" w:eastAsia="Helvetica" w:hAnsi="Century Gothic" w:cs="Helvetica"/>
          <w:sz w:val="22"/>
          <w:szCs w:val="22"/>
        </w:rPr>
        <w:br/>
      </w:r>
      <w:r w:rsidRPr="00CD7B09">
        <w:rPr>
          <w:rFonts w:ascii="Century Gothic" w:eastAsia="Helvetica" w:hAnsi="Century Gothic" w:cs="Helvetica"/>
          <w:sz w:val="22"/>
          <w:szCs w:val="22"/>
        </w:rPr>
        <w:br/>
      </w:r>
      <w:r w:rsidRPr="00CD7B09">
        <w:rPr>
          <w:rFonts w:ascii="Century Gothic" w:eastAsia="Garamond" w:hAnsi="Century Gothic" w:cs="Garamond"/>
          <w:b/>
          <w:sz w:val="22"/>
          <w:szCs w:val="22"/>
        </w:rPr>
        <w:t>Par</w:t>
      </w:r>
      <w:r w:rsidRPr="00CD7B09">
        <w:rPr>
          <w:rFonts w:ascii="Century Gothic" w:eastAsia="Helvetica" w:hAnsi="Century Gothic" w:cs="Helvetica"/>
          <w:b/>
          <w:sz w:val="22"/>
          <w:szCs w:val="22"/>
        </w:rPr>
        <w:t>ágrafo.</w:t>
      </w:r>
      <w:r w:rsidRPr="00CD7B09">
        <w:rPr>
          <w:rFonts w:ascii="Century Gothic" w:eastAsia="Garamond" w:hAnsi="Century Gothic" w:cs="Garamond"/>
          <w:sz w:val="22"/>
          <w:szCs w:val="22"/>
        </w:rPr>
        <w:t xml:space="preserve"> Para la Sala de Casaci</w:t>
      </w:r>
      <w:r w:rsidRPr="00CD7B09">
        <w:rPr>
          <w:rFonts w:ascii="Century Gothic" w:eastAsia="Helvetica" w:hAnsi="Century Gothic" w:cs="Helvetica"/>
          <w:sz w:val="22"/>
          <w:szCs w:val="22"/>
        </w:rPr>
        <w:t>ón Civil, Agraria y Rural, el Consejo Superior de la Judicatura deberá disponer lo necesario para que los magistrados que la integren cuenten con al menos un magistrado auxiliar con formación o experiencia en derecho agrari</w:t>
      </w:r>
      <w:r w:rsidRPr="00CD7B09">
        <w:rPr>
          <w:rFonts w:ascii="Century Gothic" w:eastAsia="Garamond" w:hAnsi="Century Gothic" w:cs="Garamond"/>
          <w:sz w:val="22"/>
          <w:szCs w:val="22"/>
        </w:rPr>
        <w:t>o. Respecto a los dem</w:t>
      </w:r>
      <w:r w:rsidRPr="00CD7B09">
        <w:rPr>
          <w:rFonts w:ascii="Century Gothic" w:eastAsia="Helvetica" w:hAnsi="Century Gothic" w:cs="Helvetica"/>
          <w:sz w:val="22"/>
          <w:szCs w:val="22"/>
        </w:rPr>
        <w:t>ás, se promoverán medidas de formación en derecho agrario y rural por parte de la Escuela Judicial Rodrigo Lara Bonilla</w:t>
      </w:r>
    </w:p>
    <w:p w14:paraId="12BF6E82" w14:textId="77777777" w:rsidR="00CB1679" w:rsidRPr="00CD7B09" w:rsidRDefault="00CB1679" w:rsidP="00CB1679">
      <w:pPr>
        <w:widowControl w:val="0"/>
        <w:pBdr>
          <w:top w:val="nil"/>
          <w:left w:val="nil"/>
          <w:bottom w:val="nil"/>
          <w:right w:val="nil"/>
          <w:between w:val="nil"/>
        </w:pBdr>
        <w:tabs>
          <w:tab w:val="left" w:pos="483"/>
          <w:tab w:val="left" w:pos="708"/>
          <w:tab w:val="left" w:pos="1416"/>
          <w:tab w:val="left" w:pos="2124"/>
          <w:tab w:val="left" w:pos="2832"/>
          <w:tab w:val="left" w:pos="3540"/>
        </w:tabs>
        <w:ind w:right="49"/>
        <w:rPr>
          <w:rFonts w:ascii="Century Gothic" w:eastAsia="Garamond" w:hAnsi="Century Gothic" w:cs="Garamond"/>
          <w:sz w:val="22"/>
          <w:szCs w:val="22"/>
        </w:rPr>
      </w:pPr>
    </w:p>
    <w:p w14:paraId="54FF25E6"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13</w:t>
      </w:r>
      <w:r w:rsidRPr="00CD7B09">
        <w:rPr>
          <w:rFonts w:ascii="Century Gothic" w:eastAsia="Garamond" w:hAnsi="Century Gothic" w:cs="Garamond"/>
          <w:b/>
          <w:sz w:val="22"/>
          <w:szCs w:val="22"/>
        </w:rPr>
        <w:t>. Integraci</w:t>
      </w:r>
      <w:r w:rsidRPr="00CD7B09">
        <w:rPr>
          <w:rFonts w:ascii="Century Gothic" w:eastAsia="Helvetica" w:hAnsi="Century Gothic" w:cs="Helvetica"/>
          <w:b/>
          <w:sz w:val="22"/>
          <w:szCs w:val="22"/>
        </w:rPr>
        <w:t xml:space="preserve">ón de la Especialidad Agraria y Rural en la Jurisdicción de lo Contencioso Administrativo. </w:t>
      </w:r>
      <w:r w:rsidRPr="00CD7B09">
        <w:rPr>
          <w:rFonts w:ascii="Century Gothic" w:eastAsia="Garamond" w:hAnsi="Century Gothic" w:cs="Garamond"/>
          <w:sz w:val="22"/>
          <w:szCs w:val="22"/>
        </w:rPr>
        <w:t>La Jurisdicci</w:t>
      </w:r>
      <w:r w:rsidRPr="00CD7B09">
        <w:rPr>
          <w:rFonts w:ascii="Century Gothic" w:eastAsia="Helvetica" w:hAnsi="Century Gothic" w:cs="Helvetica"/>
          <w:sz w:val="22"/>
          <w:szCs w:val="22"/>
        </w:rPr>
        <w:t>ón de lo Contencioso Administrativo, en su Especialidad Agraria y Rural, se integrará de la siguiente forma:</w:t>
      </w:r>
    </w:p>
    <w:p w14:paraId="5B5DDCF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3AF3E074" w14:textId="77777777" w:rsidR="00CB1679" w:rsidRPr="00CD7B09" w:rsidRDefault="00CB1679" w:rsidP="00CB1679">
      <w:pPr>
        <w:widowControl w:val="0"/>
        <w:numPr>
          <w:ilvl w:val="0"/>
          <w:numId w:val="14"/>
        </w:numPr>
        <w:pBdr>
          <w:top w:val="nil"/>
          <w:left w:val="nil"/>
          <w:bottom w:val="nil"/>
          <w:right w:val="nil"/>
          <w:between w:val="nil"/>
        </w:pBdr>
        <w:ind w:right="49"/>
        <w:jc w:val="both"/>
        <w:rPr>
          <w:rFonts w:ascii="Century Gothic" w:hAnsi="Century Gothic"/>
          <w:sz w:val="22"/>
          <w:szCs w:val="22"/>
        </w:rPr>
      </w:pPr>
      <w:r w:rsidRPr="00CD7B09">
        <w:rPr>
          <w:rFonts w:ascii="Century Gothic" w:eastAsia="Garamond" w:hAnsi="Century Gothic" w:cs="Garamond"/>
          <w:sz w:val="22"/>
          <w:szCs w:val="22"/>
        </w:rPr>
        <w:t>La Secci</w:t>
      </w:r>
      <w:r w:rsidRPr="00CD7B09">
        <w:rPr>
          <w:rFonts w:ascii="Century Gothic" w:eastAsia="Helvetica" w:hAnsi="Century Gothic" w:cs="Helvetica"/>
          <w:sz w:val="22"/>
          <w:szCs w:val="22"/>
        </w:rPr>
        <w:t>ón Primera de la Sala de lo Contencioso Administrativo del Consejo de Estado.</w:t>
      </w:r>
    </w:p>
    <w:p w14:paraId="38F6965C" w14:textId="77777777" w:rsidR="00CB1679" w:rsidRPr="00CD7B09" w:rsidRDefault="00CB1679" w:rsidP="00CB1679">
      <w:pPr>
        <w:widowControl w:val="0"/>
        <w:numPr>
          <w:ilvl w:val="0"/>
          <w:numId w:val="14"/>
        </w:numPr>
        <w:pBdr>
          <w:top w:val="nil"/>
          <w:left w:val="nil"/>
          <w:bottom w:val="nil"/>
          <w:right w:val="nil"/>
          <w:between w:val="nil"/>
        </w:pBdr>
        <w:ind w:right="49"/>
        <w:jc w:val="both"/>
        <w:rPr>
          <w:rFonts w:ascii="Century Gothic" w:hAnsi="Century Gothic"/>
          <w:sz w:val="22"/>
          <w:szCs w:val="22"/>
        </w:rPr>
      </w:pPr>
      <w:r w:rsidRPr="00CD7B09">
        <w:rPr>
          <w:rFonts w:ascii="Century Gothic" w:eastAsia="Garamond" w:hAnsi="Century Gothic" w:cs="Garamond"/>
          <w:sz w:val="22"/>
          <w:szCs w:val="22"/>
        </w:rPr>
        <w:t xml:space="preserve">Las Salas Agrarias y Rurales de los Tribunales Administrativos. </w:t>
      </w:r>
    </w:p>
    <w:p w14:paraId="66F3278E" w14:textId="77777777" w:rsidR="00CB1679" w:rsidRPr="00CD7B09" w:rsidRDefault="00CB1679" w:rsidP="00CB1679">
      <w:pPr>
        <w:widowControl w:val="0"/>
        <w:numPr>
          <w:ilvl w:val="0"/>
          <w:numId w:val="14"/>
        </w:numPr>
        <w:pBdr>
          <w:top w:val="nil"/>
          <w:left w:val="nil"/>
          <w:bottom w:val="nil"/>
          <w:right w:val="nil"/>
          <w:between w:val="nil"/>
        </w:pBdr>
        <w:ind w:right="49"/>
        <w:jc w:val="both"/>
        <w:rPr>
          <w:rFonts w:ascii="Century Gothic" w:hAnsi="Century Gothic"/>
          <w:sz w:val="22"/>
          <w:szCs w:val="22"/>
        </w:rPr>
      </w:pPr>
      <w:r w:rsidRPr="00CD7B09">
        <w:rPr>
          <w:rFonts w:ascii="Century Gothic" w:eastAsia="Garamond" w:hAnsi="Century Gothic" w:cs="Garamond"/>
          <w:sz w:val="22"/>
          <w:szCs w:val="22"/>
        </w:rPr>
        <w:t>Los Juzgados agrarios y rurales administrativos.</w:t>
      </w:r>
    </w:p>
    <w:p w14:paraId="19414E27" w14:textId="77777777" w:rsidR="00CB1679" w:rsidRPr="00CD7B09" w:rsidRDefault="00CB1679" w:rsidP="00CB1679">
      <w:pPr>
        <w:widowControl w:val="0"/>
        <w:pBdr>
          <w:top w:val="nil"/>
          <w:left w:val="nil"/>
          <w:bottom w:val="nil"/>
          <w:right w:val="nil"/>
          <w:between w:val="nil"/>
        </w:pBdr>
        <w:tabs>
          <w:tab w:val="left" w:pos="482"/>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795FE04B"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14</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Modif</w:t>
      </w:r>
      <w:r w:rsidRPr="00CD7B09">
        <w:rPr>
          <w:rFonts w:ascii="Century Gothic" w:eastAsia="Helvetica" w:hAnsi="Century Gothic" w:cs="Helvetica"/>
          <w:sz w:val="22"/>
          <w:szCs w:val="22"/>
        </w:rPr>
        <w:t>íquese el artículo 11 de la Ley 270 de 1996, el cual quedará así:</w:t>
      </w:r>
    </w:p>
    <w:p w14:paraId="6E2C8AF0"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3DDB166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r w:rsidRPr="00CD7B09">
        <w:rPr>
          <w:rFonts w:ascii="Century Gothic" w:eastAsia="Garamond" w:hAnsi="Century Gothic" w:cs="Garamond"/>
          <w:sz w:val="22"/>
          <w:szCs w:val="22"/>
        </w:rPr>
        <w:t>Art</w:t>
      </w:r>
      <w:r w:rsidRPr="00CD7B09">
        <w:rPr>
          <w:rFonts w:ascii="Century Gothic" w:eastAsia="Helvetica" w:hAnsi="Century Gothic" w:cs="Helvetica"/>
          <w:sz w:val="22"/>
          <w:szCs w:val="22"/>
        </w:rPr>
        <w:t xml:space="preserve">ículo 11. La Rama Judicial del Poder Público está </w:t>
      </w:r>
      <w:r w:rsidRPr="00CD7B09">
        <w:rPr>
          <w:rFonts w:ascii="Century Gothic" w:eastAsia="Garamond" w:hAnsi="Century Gothic" w:cs="Garamond"/>
          <w:sz w:val="22"/>
          <w:szCs w:val="22"/>
        </w:rPr>
        <w:t>constituida por:</w:t>
      </w:r>
    </w:p>
    <w:p w14:paraId="18F6E84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5338A4A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r w:rsidRPr="00CD7B09">
        <w:rPr>
          <w:rFonts w:ascii="Century Gothic" w:eastAsia="Garamond" w:hAnsi="Century Gothic" w:cs="Garamond"/>
          <w:sz w:val="22"/>
          <w:szCs w:val="22"/>
        </w:rPr>
        <w:t xml:space="preserve">I. Los </w:t>
      </w:r>
      <w:r w:rsidRPr="00CD7B09">
        <w:rPr>
          <w:rFonts w:ascii="Century Gothic" w:eastAsia="Helvetica" w:hAnsi="Century Gothic" w:cs="Helvetica"/>
          <w:sz w:val="22"/>
          <w:szCs w:val="22"/>
        </w:rPr>
        <w:t>órganos que integran las distintas jurisdicciones:</w:t>
      </w:r>
    </w:p>
    <w:p w14:paraId="3F10BC5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0015EEC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r w:rsidRPr="00CD7B09">
        <w:rPr>
          <w:rFonts w:ascii="Century Gothic" w:eastAsia="Garamond" w:hAnsi="Century Gothic" w:cs="Garamond"/>
          <w:sz w:val="22"/>
          <w:szCs w:val="22"/>
        </w:rPr>
        <w:t>a) De la Jurisdicci</w:t>
      </w:r>
      <w:r w:rsidRPr="00CD7B09">
        <w:rPr>
          <w:rFonts w:ascii="Century Gothic" w:eastAsia="Helvetica" w:hAnsi="Century Gothic" w:cs="Helvetica"/>
          <w:sz w:val="22"/>
          <w:szCs w:val="22"/>
        </w:rPr>
        <w:t>ón Ordinaria:</w:t>
      </w:r>
    </w:p>
    <w:p w14:paraId="647649B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r w:rsidRPr="00CD7B09">
        <w:rPr>
          <w:rFonts w:ascii="Century Gothic" w:eastAsia="Garamond" w:hAnsi="Century Gothic" w:cs="Garamond"/>
          <w:sz w:val="22"/>
          <w:szCs w:val="22"/>
        </w:rPr>
        <w:t>1. Corte Suprema de Justicia.</w:t>
      </w:r>
    </w:p>
    <w:p w14:paraId="28F5FFB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r w:rsidRPr="00CD7B09">
        <w:rPr>
          <w:rFonts w:ascii="Century Gothic" w:eastAsia="Garamond" w:hAnsi="Century Gothic" w:cs="Garamond"/>
          <w:sz w:val="22"/>
          <w:szCs w:val="22"/>
        </w:rPr>
        <w:t>2. Tribunales Superiores de Distrito Judicial.</w:t>
      </w:r>
    </w:p>
    <w:p w14:paraId="0060E77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3. Juzgados civiles, laborales, penales, penales para adolescentes, de familia, agrarios y rurales, de ejecuci</w:t>
      </w:r>
      <w:r w:rsidRPr="00CD7B09">
        <w:rPr>
          <w:rFonts w:ascii="Century Gothic" w:eastAsia="Helvetica" w:hAnsi="Century Gothic" w:cs="Helvetica"/>
          <w:sz w:val="22"/>
          <w:szCs w:val="22"/>
        </w:rPr>
        <w:t>ón de penas y medidas de seguridad, de pequeñas causas y de competencia múltiple, y los demás especializados y promiscuos que se creen conforme a la ley;</w:t>
      </w:r>
    </w:p>
    <w:p w14:paraId="209D09C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438D556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r w:rsidRPr="00CD7B09">
        <w:rPr>
          <w:rFonts w:ascii="Century Gothic" w:eastAsia="Garamond" w:hAnsi="Century Gothic" w:cs="Garamond"/>
          <w:sz w:val="22"/>
          <w:szCs w:val="22"/>
        </w:rPr>
        <w:t>b) De la Jurisdicci</w:t>
      </w:r>
      <w:r w:rsidRPr="00CD7B09">
        <w:rPr>
          <w:rFonts w:ascii="Century Gothic" w:eastAsia="Helvetica" w:hAnsi="Century Gothic" w:cs="Helvetica"/>
          <w:sz w:val="22"/>
          <w:szCs w:val="22"/>
        </w:rPr>
        <w:t>ón de lo Contencioso Administrativo:</w:t>
      </w:r>
    </w:p>
    <w:p w14:paraId="2011986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r w:rsidRPr="00CD7B09">
        <w:rPr>
          <w:rFonts w:ascii="Century Gothic" w:eastAsia="Garamond" w:hAnsi="Century Gothic" w:cs="Garamond"/>
          <w:sz w:val="22"/>
          <w:szCs w:val="22"/>
        </w:rPr>
        <w:t>1. Consejo de Estado</w:t>
      </w:r>
    </w:p>
    <w:p w14:paraId="5E0F537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r w:rsidRPr="00CD7B09">
        <w:rPr>
          <w:rFonts w:ascii="Century Gothic" w:eastAsia="Garamond" w:hAnsi="Century Gothic" w:cs="Garamond"/>
          <w:sz w:val="22"/>
          <w:szCs w:val="22"/>
        </w:rPr>
        <w:t>2. Tribunales Administrativos</w:t>
      </w:r>
    </w:p>
    <w:p w14:paraId="0D011B9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r w:rsidRPr="00CD7B09">
        <w:rPr>
          <w:rFonts w:ascii="Century Gothic" w:eastAsia="Garamond" w:hAnsi="Century Gothic" w:cs="Garamond"/>
          <w:sz w:val="22"/>
          <w:szCs w:val="22"/>
        </w:rPr>
        <w:t>3. Juzgados Administrativos y agrarios y rurales administrativos.</w:t>
      </w:r>
    </w:p>
    <w:p w14:paraId="7E8BA41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4E23612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r w:rsidRPr="00CD7B09">
        <w:rPr>
          <w:rFonts w:ascii="Century Gothic" w:eastAsia="Garamond" w:hAnsi="Century Gothic" w:cs="Garamond"/>
          <w:sz w:val="22"/>
          <w:szCs w:val="22"/>
        </w:rPr>
        <w:t>c) De la Jurisdicci</w:t>
      </w:r>
      <w:r w:rsidRPr="00CD7B09">
        <w:rPr>
          <w:rFonts w:ascii="Century Gothic" w:eastAsia="Helvetica" w:hAnsi="Century Gothic" w:cs="Helvetica"/>
          <w:sz w:val="22"/>
          <w:szCs w:val="22"/>
        </w:rPr>
        <w:t>ón Constitucional:</w:t>
      </w:r>
    </w:p>
    <w:p w14:paraId="3E52B14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r w:rsidRPr="00CD7B09">
        <w:rPr>
          <w:rFonts w:ascii="Century Gothic" w:eastAsia="Garamond" w:hAnsi="Century Gothic" w:cs="Garamond"/>
          <w:sz w:val="22"/>
          <w:szCs w:val="22"/>
        </w:rPr>
        <w:t>1. Corte Constitucional.</w:t>
      </w:r>
    </w:p>
    <w:p w14:paraId="05675BF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693FD98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r w:rsidRPr="00CD7B09">
        <w:rPr>
          <w:rFonts w:ascii="Century Gothic" w:eastAsia="Garamond" w:hAnsi="Century Gothic" w:cs="Garamond"/>
          <w:sz w:val="22"/>
          <w:szCs w:val="22"/>
        </w:rPr>
        <w:t>d) De la Jurisdicci</w:t>
      </w:r>
      <w:r w:rsidRPr="00CD7B09">
        <w:rPr>
          <w:rFonts w:ascii="Century Gothic" w:eastAsia="Helvetica" w:hAnsi="Century Gothic" w:cs="Helvetica"/>
          <w:sz w:val="22"/>
          <w:szCs w:val="22"/>
        </w:rPr>
        <w:t>ón de Paz: Jueces de Paz.</w:t>
      </w:r>
    </w:p>
    <w:p w14:paraId="51894F8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1BBE054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r w:rsidRPr="00CD7B09">
        <w:rPr>
          <w:rFonts w:ascii="Century Gothic" w:eastAsia="Garamond" w:hAnsi="Century Gothic" w:cs="Garamond"/>
          <w:sz w:val="22"/>
          <w:szCs w:val="22"/>
        </w:rPr>
        <w:t>e) De la Jurisdicci</w:t>
      </w:r>
      <w:r w:rsidRPr="00CD7B09">
        <w:rPr>
          <w:rFonts w:ascii="Century Gothic" w:eastAsia="Helvetica" w:hAnsi="Century Gothic" w:cs="Helvetica"/>
          <w:sz w:val="22"/>
          <w:szCs w:val="22"/>
        </w:rPr>
        <w:t xml:space="preserve">ón </w:t>
      </w:r>
      <w:r w:rsidRPr="00CD7B09">
        <w:rPr>
          <w:rFonts w:ascii="Century Gothic" w:eastAsia="Garamond" w:hAnsi="Century Gothic" w:cs="Garamond"/>
          <w:sz w:val="22"/>
          <w:szCs w:val="22"/>
        </w:rPr>
        <w:t>Disciplinaria:</w:t>
      </w:r>
    </w:p>
    <w:p w14:paraId="63DD56F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r w:rsidRPr="00CD7B09">
        <w:rPr>
          <w:rFonts w:ascii="Century Gothic" w:eastAsia="Garamond" w:hAnsi="Century Gothic" w:cs="Garamond"/>
          <w:sz w:val="22"/>
          <w:szCs w:val="22"/>
        </w:rPr>
        <w:t>1. Comisi</w:t>
      </w:r>
      <w:r w:rsidRPr="00CD7B09">
        <w:rPr>
          <w:rFonts w:ascii="Century Gothic" w:eastAsia="Helvetica" w:hAnsi="Century Gothic" w:cs="Helvetica"/>
          <w:sz w:val="22"/>
          <w:szCs w:val="22"/>
        </w:rPr>
        <w:t>ón Nacional de Disciplina Judicial</w:t>
      </w:r>
    </w:p>
    <w:p w14:paraId="3D5D802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r w:rsidRPr="00CD7B09">
        <w:rPr>
          <w:rFonts w:ascii="Century Gothic" w:eastAsia="Garamond" w:hAnsi="Century Gothic" w:cs="Garamond"/>
          <w:sz w:val="22"/>
          <w:szCs w:val="22"/>
        </w:rPr>
        <w:t>2. Comisiones Seccionales de Disciplina Judicial</w:t>
      </w:r>
    </w:p>
    <w:p w14:paraId="470ACDE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048B1B4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r w:rsidRPr="00CD7B09">
        <w:rPr>
          <w:rFonts w:ascii="Century Gothic" w:eastAsia="Garamond" w:hAnsi="Century Gothic" w:cs="Garamond"/>
          <w:sz w:val="22"/>
          <w:szCs w:val="22"/>
        </w:rPr>
        <w:t>II. La Fiscal</w:t>
      </w:r>
      <w:r w:rsidRPr="00CD7B09">
        <w:rPr>
          <w:rFonts w:ascii="Century Gothic" w:eastAsia="Helvetica" w:hAnsi="Century Gothic" w:cs="Helvetica"/>
          <w:sz w:val="22"/>
          <w:szCs w:val="22"/>
        </w:rPr>
        <w:t>ía General de la Nación.</w:t>
      </w:r>
    </w:p>
    <w:p w14:paraId="67A210E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r w:rsidRPr="00CD7B09">
        <w:rPr>
          <w:rFonts w:ascii="Century Gothic" w:eastAsia="Garamond" w:hAnsi="Century Gothic" w:cs="Garamond"/>
          <w:sz w:val="22"/>
          <w:szCs w:val="22"/>
        </w:rPr>
        <w:t>III. El Consejo Superior de la Judicatura.</w:t>
      </w:r>
    </w:p>
    <w:p w14:paraId="4F6FBB9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0C7CA73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w:t>
      </w:r>
      <w:r w:rsidRPr="00CD7B09">
        <w:rPr>
          <w:rFonts w:ascii="Century Gothic" w:eastAsia="Helvetica" w:hAnsi="Century Gothic" w:cs="Helvetica"/>
          <w:sz w:val="22"/>
          <w:szCs w:val="22"/>
        </w:rPr>
        <w:t xml:space="preserve">ágrafo 1º. La Corte Suprema de Justicia, la Corte </w:t>
      </w:r>
      <w:r w:rsidRPr="00CD7B09">
        <w:rPr>
          <w:rFonts w:ascii="Century Gothic" w:eastAsia="Garamond" w:hAnsi="Century Gothic" w:cs="Garamond"/>
          <w:sz w:val="22"/>
          <w:szCs w:val="22"/>
        </w:rPr>
        <w:t>Constitucional, el Consejo de Estado, el Consejo Superior de la Judicatura y la Comisi</w:t>
      </w:r>
      <w:r w:rsidRPr="00CD7B09">
        <w:rPr>
          <w:rFonts w:ascii="Century Gothic" w:eastAsia="Helvetica" w:hAnsi="Century Gothic" w:cs="Helvetica"/>
          <w:sz w:val="22"/>
          <w:szCs w:val="22"/>
        </w:rPr>
        <w:t>ón Nacional de Disciplina Judicial, tienen competencia en todo el territorio nacional. Los Tribunales Superiores, los Tribunales Administrativos y las comisiones secciona</w:t>
      </w:r>
      <w:r w:rsidRPr="00CD7B09">
        <w:rPr>
          <w:rFonts w:ascii="Century Gothic" w:eastAsia="Garamond" w:hAnsi="Century Gothic" w:cs="Garamond"/>
          <w:sz w:val="22"/>
          <w:szCs w:val="22"/>
        </w:rPr>
        <w:t>les de disciplina judicial y Consejos seccionales de la judicatura tienen competencia en el correspondiente distrito judicial o administrativo. Los jueces del circuito tienen competencia en el respectivo circuito y los jueces municipales en el respectivo municipio; los jueces de peque</w:t>
      </w:r>
      <w:r w:rsidRPr="00CD7B09">
        <w:rPr>
          <w:rFonts w:ascii="Century Gothic" w:eastAsia="Helvetica" w:hAnsi="Century Gothic" w:cs="Helvetica"/>
          <w:sz w:val="22"/>
          <w:szCs w:val="22"/>
        </w:rPr>
        <w:t>ñas causas a nivel municipal y local.</w:t>
      </w:r>
    </w:p>
    <w:p w14:paraId="2527992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7B2B8BD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Los jueces especializados y los de descongesti</w:t>
      </w:r>
      <w:r w:rsidRPr="00CD7B09">
        <w:rPr>
          <w:rFonts w:ascii="Century Gothic" w:eastAsia="Helvetica" w:hAnsi="Century Gothic" w:cs="Helvetica"/>
          <w:sz w:val="22"/>
          <w:szCs w:val="22"/>
        </w:rPr>
        <w:t>ón tendrán la competencia territorial y material específica que les señale el acto de su creación.</w:t>
      </w:r>
    </w:p>
    <w:p w14:paraId="50A1928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617FE90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w:t>
      </w:r>
      <w:r w:rsidRPr="00CD7B09">
        <w:rPr>
          <w:rFonts w:ascii="Century Gothic" w:eastAsia="Helvetica" w:hAnsi="Century Gothic" w:cs="Helvetica"/>
          <w:sz w:val="22"/>
          <w:szCs w:val="22"/>
        </w:rPr>
        <w:t xml:space="preserve">ágrafo 2º. El Fiscal General de la </w:t>
      </w:r>
      <w:r w:rsidRPr="00CD7B09">
        <w:rPr>
          <w:rFonts w:ascii="Century Gothic" w:eastAsia="Garamond" w:hAnsi="Century Gothic" w:cs="Garamond"/>
          <w:sz w:val="22"/>
          <w:szCs w:val="22"/>
        </w:rPr>
        <w:t>Naci</w:t>
      </w:r>
      <w:r w:rsidRPr="00CD7B09">
        <w:rPr>
          <w:rFonts w:ascii="Century Gothic" w:eastAsia="Helvetica" w:hAnsi="Century Gothic" w:cs="Helvetica"/>
          <w:sz w:val="22"/>
          <w:szCs w:val="22"/>
        </w:rPr>
        <w:t>ón y sus delegados tienen competencia en todo el territorio nacional.</w:t>
      </w:r>
    </w:p>
    <w:p w14:paraId="031BF8D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6326A35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w:t>
      </w:r>
      <w:r w:rsidRPr="00CD7B09">
        <w:rPr>
          <w:rFonts w:ascii="Century Gothic" w:eastAsia="Helvetica" w:hAnsi="Century Gothic" w:cs="Helvetica"/>
          <w:sz w:val="22"/>
          <w:szCs w:val="22"/>
        </w:rPr>
        <w:t>ágrafo 3º. En las ciudades se podrán organizar los despachos judiciales en forma desconcentrada.</w:t>
      </w:r>
    </w:p>
    <w:p w14:paraId="5C54A91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36E753C3" w14:textId="77777777" w:rsidR="00CB1679" w:rsidRPr="00CD7B09" w:rsidRDefault="00CB1679" w:rsidP="00CB1679">
      <w:pPr>
        <w:widowControl w:val="0"/>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hanging="567"/>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15</w:t>
      </w:r>
      <w:r w:rsidRPr="00CD7B09">
        <w:rPr>
          <w:rFonts w:ascii="Century Gothic" w:eastAsia="Garamond" w:hAnsi="Century Gothic" w:cs="Garamond"/>
          <w:b/>
          <w:sz w:val="22"/>
          <w:szCs w:val="22"/>
        </w:rPr>
        <w:t>.</w:t>
      </w:r>
      <w:r w:rsidRPr="00CD7B09">
        <w:rPr>
          <w:rFonts w:ascii="Century Gothic" w:eastAsia="Garamond" w:hAnsi="Century Gothic" w:cs="Garamond"/>
          <w:sz w:val="22"/>
          <w:szCs w:val="22"/>
        </w:rPr>
        <w:t xml:space="preserve"> Modif</w:t>
      </w:r>
      <w:r w:rsidRPr="00CD7B09">
        <w:rPr>
          <w:rFonts w:ascii="Century Gothic" w:eastAsia="Helvetica" w:hAnsi="Century Gothic" w:cs="Helvetica"/>
          <w:sz w:val="22"/>
          <w:szCs w:val="22"/>
        </w:rPr>
        <w:t>íquese el artículo 16 de la Ley 270 de 1996, el cual quedará así:</w:t>
      </w:r>
      <w:r w:rsidRPr="00CD7B09">
        <w:rPr>
          <w:rFonts w:ascii="Century Gothic" w:eastAsia="Helvetica" w:hAnsi="Century Gothic" w:cs="Helvetica"/>
          <w:sz w:val="22"/>
          <w:szCs w:val="22"/>
        </w:rPr>
        <w:br/>
      </w:r>
      <w:r w:rsidRPr="00CD7B09">
        <w:rPr>
          <w:rFonts w:ascii="Century Gothic" w:eastAsia="Helvetica" w:hAnsi="Century Gothic" w:cs="Helvetica"/>
          <w:sz w:val="22"/>
          <w:szCs w:val="22"/>
        </w:rPr>
        <w:br/>
        <w:t>Artículo 16. Salas. La Corte Suprema de Justicia cumplirá sus funciones como máximo tribunal de la Justicia Ordinaria por medio de cinco (5) salas, integradas así: La Sala Plena, inte</w:t>
      </w:r>
      <w:r w:rsidRPr="00CD7B09">
        <w:rPr>
          <w:rFonts w:ascii="Century Gothic" w:eastAsia="Garamond" w:hAnsi="Century Gothic" w:cs="Garamond"/>
          <w:sz w:val="22"/>
          <w:szCs w:val="22"/>
        </w:rPr>
        <w:t>grada por veintitr</w:t>
      </w:r>
      <w:r w:rsidRPr="00CD7B09">
        <w:rPr>
          <w:rFonts w:ascii="Century Gothic" w:eastAsia="Helvetica" w:hAnsi="Century Gothic" w:cs="Helvetica"/>
          <w:sz w:val="22"/>
          <w:szCs w:val="22"/>
        </w:rPr>
        <w:t>és (23) magistrados de las Salas de Casación; la Sala de Gobierno, integrada por el Presidente, el Vicepresidente y los Presidentes de cada una de las Salas de Casación; la Sala de Casación Civil Agraria y Rural, integrada por siete (7) M</w:t>
      </w:r>
      <w:r w:rsidRPr="00CD7B09">
        <w:rPr>
          <w:rFonts w:ascii="Century Gothic" w:eastAsia="Garamond" w:hAnsi="Century Gothic" w:cs="Garamond"/>
          <w:sz w:val="22"/>
          <w:szCs w:val="22"/>
        </w:rPr>
        <w:t>agistrados; la Sala de Casaci</w:t>
      </w:r>
      <w:r w:rsidRPr="00CD7B09">
        <w:rPr>
          <w:rFonts w:ascii="Century Gothic" w:eastAsia="Helvetica" w:hAnsi="Century Gothic" w:cs="Helvetica"/>
          <w:sz w:val="22"/>
          <w:szCs w:val="22"/>
        </w:rPr>
        <w:t>ón Laboral, integrada por siete (7) Magistrados; la Sala de Casación Penal, integrada por nueve (9) Magistrados.</w:t>
      </w:r>
    </w:p>
    <w:p w14:paraId="63851E1A" w14:textId="77777777" w:rsidR="00CB1679" w:rsidRPr="00CD7B09" w:rsidRDefault="00CB1679" w:rsidP="00CB1679">
      <w:pPr>
        <w:widowControl w:val="0"/>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hanging="567"/>
        <w:jc w:val="both"/>
        <w:rPr>
          <w:rFonts w:ascii="Century Gothic" w:eastAsia="Garamond" w:hAnsi="Century Gothic" w:cs="Garamond"/>
          <w:sz w:val="22"/>
          <w:szCs w:val="22"/>
        </w:rPr>
      </w:pPr>
    </w:p>
    <w:p w14:paraId="04E0C97B" w14:textId="77777777" w:rsidR="00CB1679" w:rsidRPr="00CD7B09" w:rsidRDefault="00CB1679" w:rsidP="00CB1679">
      <w:pPr>
        <w:widowControl w:val="0"/>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w:t>
      </w:r>
      <w:r w:rsidRPr="00CD7B09">
        <w:rPr>
          <w:rFonts w:ascii="Century Gothic" w:eastAsia="Helvetica" w:hAnsi="Century Gothic" w:cs="Helvetica"/>
          <w:sz w:val="22"/>
          <w:szCs w:val="22"/>
        </w:rPr>
        <w:t xml:space="preserve">ágrafo: La Sala Especial de Primera Instancia estará integrada por tres (3) magistrados y la Sala Especial de </w:t>
      </w:r>
      <w:r w:rsidRPr="00CD7B09">
        <w:rPr>
          <w:rFonts w:ascii="Century Gothic" w:eastAsia="Garamond" w:hAnsi="Century Gothic" w:cs="Garamond"/>
          <w:sz w:val="22"/>
          <w:szCs w:val="22"/>
        </w:rPr>
        <w:t>Instrucci</w:t>
      </w:r>
      <w:r w:rsidRPr="00CD7B09">
        <w:rPr>
          <w:rFonts w:ascii="Century Gothic" w:eastAsia="Helvetica" w:hAnsi="Century Gothic" w:cs="Helvetica"/>
          <w:sz w:val="22"/>
          <w:szCs w:val="22"/>
        </w:rPr>
        <w:t>ón por seis (6) magistrados.</w:t>
      </w:r>
    </w:p>
    <w:p w14:paraId="3E9E14BA"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518E0161"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16</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Modif</w:t>
      </w:r>
      <w:r w:rsidRPr="00CD7B09">
        <w:rPr>
          <w:rFonts w:ascii="Century Gothic" w:eastAsia="Helvetica" w:hAnsi="Century Gothic" w:cs="Helvetica"/>
          <w:sz w:val="22"/>
          <w:szCs w:val="22"/>
        </w:rPr>
        <w:t>íquese el artículo 22 de la Ley 270 de 1996, el cual quedará así:</w:t>
      </w:r>
    </w:p>
    <w:p w14:paraId="4FD7CFF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u w:val="single"/>
        </w:rPr>
      </w:pPr>
    </w:p>
    <w:p w14:paraId="2551F58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w:t>
      </w:r>
      <w:r w:rsidRPr="00CD7B09">
        <w:rPr>
          <w:rFonts w:ascii="Century Gothic" w:eastAsia="Helvetica" w:hAnsi="Century Gothic" w:cs="Helvetica"/>
          <w:sz w:val="22"/>
          <w:szCs w:val="22"/>
        </w:rPr>
        <w:t xml:space="preserve">ículo 22. Régimen de los juzgados. Los Juzgados Civiles, Agrarios y Rurales, Penales, de Familia, Laborales, de Ejecución de </w:t>
      </w:r>
      <w:r w:rsidRPr="00CD7B09">
        <w:rPr>
          <w:rFonts w:ascii="Century Gothic" w:eastAsia="Garamond" w:hAnsi="Century Gothic" w:cs="Garamond"/>
          <w:sz w:val="22"/>
          <w:szCs w:val="22"/>
        </w:rPr>
        <w:t>Penas y medidas de seguridad, de Peque</w:t>
      </w:r>
      <w:r w:rsidRPr="00CD7B09">
        <w:rPr>
          <w:rFonts w:ascii="Century Gothic" w:eastAsia="Helvetica" w:hAnsi="Century Gothic" w:cs="Helvetica"/>
          <w:sz w:val="22"/>
          <w:szCs w:val="22"/>
        </w:rPr>
        <w:t>ñas Causas y demás juzgados especializados creados conforme a la ley, que determine el Consejo Superior de la Judicatura, de conformidad con las necesidades de la administración de justicia en cada circuito o municipio</w:t>
      </w:r>
      <w:r w:rsidRPr="00CD7B09">
        <w:rPr>
          <w:rFonts w:ascii="Century Gothic" w:eastAsia="Garamond" w:hAnsi="Century Gothic" w:cs="Garamond"/>
          <w:sz w:val="22"/>
          <w:szCs w:val="22"/>
        </w:rPr>
        <w:t>, integran la Jurisdicci</w:t>
      </w:r>
      <w:r w:rsidRPr="00CD7B09">
        <w:rPr>
          <w:rFonts w:ascii="Century Gothic" w:eastAsia="Helvetica" w:hAnsi="Century Gothic" w:cs="Helvetica"/>
          <w:sz w:val="22"/>
          <w:szCs w:val="22"/>
        </w:rPr>
        <w:t>ón Ordinaria. Sus características, denominación y número serán los establecidos por dicha Corporación.</w:t>
      </w:r>
    </w:p>
    <w:p w14:paraId="5444D16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6F2206F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Cuando el n</w:t>
      </w:r>
      <w:r w:rsidRPr="00CD7B09">
        <w:rPr>
          <w:rFonts w:ascii="Century Gothic" w:eastAsia="Helvetica" w:hAnsi="Century Gothic" w:cs="Helvetica"/>
          <w:sz w:val="22"/>
          <w:szCs w:val="22"/>
        </w:rPr>
        <w:t>úmero de asuntos así lo justifique, los juzgados podrán ser promiscuos para el conocimiento de procesos civiles, agra</w:t>
      </w:r>
      <w:r w:rsidRPr="00CD7B09">
        <w:rPr>
          <w:rFonts w:ascii="Century Gothic" w:eastAsia="Garamond" w:hAnsi="Century Gothic" w:cs="Garamond"/>
          <w:sz w:val="22"/>
          <w:szCs w:val="22"/>
        </w:rPr>
        <w:t>rios y rurales, penales, laborales o de familia.</w:t>
      </w:r>
    </w:p>
    <w:p w14:paraId="0772854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conformidad con las necesidades de cada ciudad y de cada municipio habr</w:t>
      </w:r>
      <w:r w:rsidRPr="00CD7B09">
        <w:rPr>
          <w:rFonts w:ascii="Century Gothic" w:eastAsia="Helvetica" w:hAnsi="Century Gothic" w:cs="Helvetica"/>
          <w:sz w:val="22"/>
          <w:szCs w:val="22"/>
        </w:rPr>
        <w:t xml:space="preserve">á jueces municipales de pequeñas causas y competencia múltiple sobre asuntos de la Jurisdicción Ordinaria, definidos legalmente como </w:t>
      </w:r>
      <w:r w:rsidRPr="00CD7B09">
        <w:rPr>
          <w:rFonts w:ascii="Century Gothic" w:eastAsia="Garamond" w:hAnsi="Century Gothic" w:cs="Garamond"/>
          <w:sz w:val="22"/>
          <w:szCs w:val="22"/>
        </w:rPr>
        <w:t>conflictos menores. La localizaci</w:t>
      </w:r>
      <w:r w:rsidRPr="00CD7B09">
        <w:rPr>
          <w:rFonts w:ascii="Century Gothic" w:eastAsia="Helvetica" w:hAnsi="Century Gothic" w:cs="Helvetica"/>
          <w:sz w:val="22"/>
          <w:szCs w:val="22"/>
        </w:rPr>
        <w:t>ón de sus sedes será descentralizada en aquellos sectores de ciudades y municipios donde así se justifique debido a la demanda de justicia. Su actuación será oral, sumaria y en lo posible de única audiencia.</w:t>
      </w:r>
    </w:p>
    <w:p w14:paraId="4F6EDFC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6B8B0AD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Para garantizar el acceso a la administraci</w:t>
      </w:r>
      <w:r w:rsidRPr="00CD7B09">
        <w:rPr>
          <w:rFonts w:ascii="Century Gothic" w:eastAsia="Helvetica" w:hAnsi="Century Gothic" w:cs="Helvetica"/>
          <w:sz w:val="22"/>
          <w:szCs w:val="22"/>
        </w:rPr>
        <w:t>ón de justicia, el Consejo Superior de la</w:t>
      </w:r>
      <w:r w:rsidRPr="00CD7B09">
        <w:rPr>
          <w:rFonts w:ascii="Century Gothic" w:eastAsia="Garamond" w:hAnsi="Century Gothic" w:cs="Garamond"/>
          <w:sz w:val="22"/>
          <w:szCs w:val="22"/>
        </w:rPr>
        <w:t xml:space="preserve"> Judicatura podr</w:t>
      </w:r>
      <w:r w:rsidRPr="00CD7B09">
        <w:rPr>
          <w:rFonts w:ascii="Century Gothic" w:eastAsia="Helvetica" w:hAnsi="Century Gothic" w:cs="Helvetica"/>
          <w:sz w:val="22"/>
          <w:szCs w:val="22"/>
        </w:rPr>
        <w:t>á crear Juzgados itinerantes pa</w:t>
      </w:r>
      <w:r w:rsidRPr="00CD7B09">
        <w:rPr>
          <w:rFonts w:ascii="Century Gothic" w:eastAsia="Garamond" w:hAnsi="Century Gothic" w:cs="Garamond"/>
          <w:sz w:val="22"/>
          <w:szCs w:val="22"/>
        </w:rPr>
        <w:t>ra solventar las necesidades de administraci</w:t>
      </w:r>
      <w:r w:rsidRPr="00CD7B09">
        <w:rPr>
          <w:rFonts w:ascii="Century Gothic" w:eastAsia="Helvetica" w:hAnsi="Century Gothic" w:cs="Helvetica"/>
          <w:sz w:val="22"/>
          <w:szCs w:val="22"/>
        </w:rPr>
        <w:t>ón de justicia en algunas zonas del país, que presenten déficit de cobertura en la pre</w:t>
      </w:r>
      <w:r w:rsidRPr="00CD7B09">
        <w:rPr>
          <w:rFonts w:ascii="Century Gothic" w:eastAsia="Garamond" w:hAnsi="Century Gothic" w:cs="Garamond"/>
          <w:sz w:val="22"/>
          <w:szCs w:val="22"/>
        </w:rPr>
        <w:t>staci</w:t>
      </w:r>
      <w:r w:rsidRPr="00CD7B09">
        <w:rPr>
          <w:rFonts w:ascii="Century Gothic" w:eastAsia="Helvetica" w:hAnsi="Century Gothic" w:cs="Helvetica"/>
          <w:sz w:val="22"/>
          <w:szCs w:val="22"/>
        </w:rPr>
        <w:t>ón del servicio de justicia, o en casos específicos y especiales en materia penal, en que se requiera una resolución pronta y cumplida de justicia.</w:t>
      </w:r>
    </w:p>
    <w:p w14:paraId="502AB8A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11FA0E6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Su creaci</w:t>
      </w:r>
      <w:r w:rsidRPr="00CD7B09">
        <w:rPr>
          <w:rFonts w:ascii="Century Gothic" w:eastAsia="Helvetica" w:hAnsi="Century Gothic" w:cs="Helvetica"/>
          <w:sz w:val="22"/>
          <w:szCs w:val="22"/>
        </w:rPr>
        <w:t>ón cumplirá los mismos términos definidos en el artículo 63 de esta Ley y su funcionamiento s</w:t>
      </w:r>
      <w:r w:rsidRPr="00CD7B09">
        <w:rPr>
          <w:rFonts w:ascii="Century Gothic" w:eastAsia="Garamond" w:hAnsi="Century Gothic" w:cs="Garamond"/>
          <w:sz w:val="22"/>
          <w:szCs w:val="22"/>
        </w:rPr>
        <w:t>e regir</w:t>
      </w:r>
      <w:r w:rsidRPr="00CD7B09">
        <w:rPr>
          <w:rFonts w:ascii="Century Gothic" w:eastAsia="Helvetica" w:hAnsi="Century Gothic" w:cs="Helvetica"/>
          <w:sz w:val="22"/>
          <w:szCs w:val="22"/>
        </w:rPr>
        <w:t>á por lo dispuesto en esta Ley y demás normas pertinentes.</w:t>
      </w:r>
    </w:p>
    <w:p w14:paraId="41080A7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6C86712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w:t>
      </w:r>
      <w:r w:rsidRPr="00CD7B09">
        <w:rPr>
          <w:rFonts w:ascii="Century Gothic" w:eastAsia="Helvetica" w:hAnsi="Century Gothic" w:cs="Helvetica"/>
          <w:sz w:val="22"/>
          <w:szCs w:val="22"/>
        </w:rPr>
        <w:t>ÁGRAFO. En un término de dos (2) años el Consejo Superior de la Judicatura deberá evaluar el cumplimiento de los objetivos para la creación de los juzgados de pequeñas causas y competenc</w:t>
      </w:r>
      <w:r w:rsidRPr="00CD7B09">
        <w:rPr>
          <w:rFonts w:ascii="Century Gothic" w:eastAsia="Garamond" w:hAnsi="Century Gothic" w:cs="Garamond"/>
          <w:sz w:val="22"/>
          <w:szCs w:val="22"/>
        </w:rPr>
        <w:t>ias m</w:t>
      </w:r>
      <w:r w:rsidRPr="00CD7B09">
        <w:rPr>
          <w:rFonts w:ascii="Century Gothic" w:eastAsia="Helvetica" w:hAnsi="Century Gothic" w:cs="Helvetica"/>
          <w:sz w:val="22"/>
          <w:szCs w:val="22"/>
        </w:rPr>
        <w:t>últiples, y de manera motivada determinar su continuidad o su transformación en juzgados municipales.</w:t>
      </w:r>
    </w:p>
    <w:p w14:paraId="7CAF39D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694B875C" w14:textId="77777777" w:rsidR="00CB1679" w:rsidRPr="00CD7B09" w:rsidRDefault="00CB1679" w:rsidP="00CB1679">
      <w:pPr>
        <w:pBdr>
          <w:top w:val="nil"/>
          <w:left w:val="nil"/>
          <w:bottom w:val="nil"/>
          <w:right w:val="nil"/>
          <w:between w:val="nil"/>
        </w:pBdr>
        <w:tabs>
          <w:tab w:val="left" w:pos="3540"/>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w:t>
      </w:r>
      <w:r w:rsidRPr="00CD7B09">
        <w:rPr>
          <w:rFonts w:ascii="Century Gothic" w:eastAsia="Helvetica" w:hAnsi="Century Gothic" w:cs="Helvetica"/>
          <w:sz w:val="22"/>
          <w:szCs w:val="22"/>
        </w:rPr>
        <w:t xml:space="preserve">ágrafo 2. En lo que refiere a la gestión administrativa de los despachos judiciales agrarios y rurales, podrán compartir logística con las </w:t>
      </w:r>
      <w:r w:rsidRPr="00CD7B09">
        <w:rPr>
          <w:rFonts w:ascii="Century Gothic" w:eastAsia="Garamond" w:hAnsi="Century Gothic" w:cs="Garamond"/>
          <w:sz w:val="22"/>
          <w:szCs w:val="22"/>
        </w:rPr>
        <w:t xml:space="preserve">entidades de la rama ejecutiva de mayor presencia en </w:t>
      </w:r>
      <w:r w:rsidRPr="00CD7B09">
        <w:rPr>
          <w:rFonts w:ascii="Century Gothic" w:eastAsia="Helvetica" w:hAnsi="Century Gothic" w:cs="Helvetica"/>
          <w:sz w:val="22"/>
          <w:szCs w:val="22"/>
        </w:rPr>
        <w:t>áreas rurales que para ese propósito celebren un convenio interadministrativo.</w:t>
      </w:r>
    </w:p>
    <w:p w14:paraId="1194B78E" w14:textId="77777777" w:rsidR="00CB1679" w:rsidRPr="00CD7B09" w:rsidRDefault="00CB1679" w:rsidP="00CB1679">
      <w:pPr>
        <w:pBdr>
          <w:top w:val="nil"/>
          <w:left w:val="nil"/>
          <w:bottom w:val="nil"/>
          <w:right w:val="nil"/>
          <w:between w:val="nil"/>
        </w:pBdr>
        <w:tabs>
          <w:tab w:val="left" w:pos="2710"/>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115281FA" w14:textId="77777777" w:rsidR="00CB1679" w:rsidRPr="00CD7B09" w:rsidRDefault="00CB1679" w:rsidP="00CB1679">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17</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Modif</w:t>
      </w:r>
      <w:r w:rsidRPr="00CD7B09">
        <w:rPr>
          <w:rFonts w:ascii="Century Gothic" w:eastAsia="Helvetica" w:hAnsi="Century Gothic" w:cs="Helvetica"/>
          <w:sz w:val="22"/>
          <w:szCs w:val="22"/>
        </w:rPr>
        <w:t>íquese el artículo 36 de la Ley 270 de 1996, el cual quedará así:</w:t>
      </w:r>
    </w:p>
    <w:p w14:paraId="255120EC"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3468D40E"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w:t>
      </w:r>
      <w:r w:rsidRPr="00CD7B09">
        <w:rPr>
          <w:rFonts w:ascii="Century Gothic" w:eastAsia="Helvetica" w:hAnsi="Century Gothic" w:cs="Helvetica"/>
          <w:sz w:val="22"/>
          <w:szCs w:val="22"/>
        </w:rPr>
        <w:t>ículo 36. De la Sala de lo Cont</w:t>
      </w:r>
      <w:r w:rsidRPr="00CD7B09">
        <w:rPr>
          <w:rFonts w:ascii="Century Gothic" w:eastAsia="Garamond" w:hAnsi="Century Gothic" w:cs="Garamond"/>
          <w:sz w:val="22"/>
          <w:szCs w:val="22"/>
        </w:rPr>
        <w:t>encioso Administrativo. La Sala de lo Contencioso Administrativo se dividir</w:t>
      </w:r>
      <w:r w:rsidRPr="00CD7B09">
        <w:rPr>
          <w:rFonts w:ascii="Century Gothic" w:eastAsia="Helvetica" w:hAnsi="Century Gothic" w:cs="Helvetica"/>
          <w:sz w:val="22"/>
          <w:szCs w:val="22"/>
        </w:rPr>
        <w:t>á en cinco (5) Secciones, cada una de las cuales ejercerá separadamente las funciones que de conformidad con su especialidad y cantidad de trabajo le asigne la Sala Plena del Consej</w:t>
      </w:r>
      <w:r w:rsidRPr="00CD7B09">
        <w:rPr>
          <w:rFonts w:ascii="Century Gothic" w:eastAsia="Garamond" w:hAnsi="Century Gothic" w:cs="Garamond"/>
          <w:sz w:val="22"/>
          <w:szCs w:val="22"/>
        </w:rPr>
        <w:t>o de Estado, de acuerdo con la ley y el reglamento interno de la Corporaci</w:t>
      </w:r>
      <w:r w:rsidRPr="00CD7B09">
        <w:rPr>
          <w:rFonts w:ascii="Century Gothic" w:eastAsia="Helvetica" w:hAnsi="Century Gothic" w:cs="Helvetica"/>
          <w:sz w:val="22"/>
          <w:szCs w:val="22"/>
        </w:rPr>
        <w:t>ón y estarán integradas de la siguiente manera:</w:t>
      </w:r>
    </w:p>
    <w:p w14:paraId="349BDA27"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5A0CE56E"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w:t>
      </w:r>
      <w:r w:rsidRPr="00CD7B09">
        <w:rPr>
          <w:rFonts w:ascii="Century Gothic" w:eastAsia="Garamond" w:hAnsi="Century Gothic" w:cs="Garamond"/>
          <w:sz w:val="22"/>
          <w:szCs w:val="22"/>
        </w:rPr>
        <w:tab/>
        <w:t>La Secci</w:t>
      </w:r>
      <w:r w:rsidRPr="00CD7B09">
        <w:rPr>
          <w:rFonts w:ascii="Century Gothic" w:eastAsia="Helvetica" w:hAnsi="Century Gothic" w:cs="Helvetica"/>
          <w:sz w:val="22"/>
          <w:szCs w:val="22"/>
        </w:rPr>
        <w:t xml:space="preserve">ón Primera, se dividirá en dos (2) Subsecciones, cada una de las cuales estará integrada por tres (3) magistrados y </w:t>
      </w:r>
      <w:r w:rsidRPr="00CD7B09">
        <w:rPr>
          <w:rFonts w:ascii="Century Gothic" w:eastAsia="Garamond" w:hAnsi="Century Gothic" w:cs="Garamond"/>
          <w:sz w:val="22"/>
          <w:szCs w:val="22"/>
        </w:rPr>
        <w:t>conocer</w:t>
      </w:r>
      <w:r w:rsidRPr="00CD7B09">
        <w:rPr>
          <w:rFonts w:ascii="Century Gothic" w:eastAsia="Helvetica" w:hAnsi="Century Gothic" w:cs="Helvetica"/>
          <w:sz w:val="22"/>
          <w:szCs w:val="22"/>
        </w:rPr>
        <w:t>á de los asuntos agrarios y rurales.</w:t>
      </w:r>
    </w:p>
    <w:p w14:paraId="3BCA8FF1"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b)</w:t>
      </w:r>
      <w:r w:rsidRPr="00CD7B09">
        <w:rPr>
          <w:rFonts w:ascii="Century Gothic" w:eastAsia="Garamond" w:hAnsi="Century Gothic" w:cs="Garamond"/>
          <w:sz w:val="22"/>
          <w:szCs w:val="22"/>
        </w:rPr>
        <w:tab/>
        <w:t>La Secci</w:t>
      </w:r>
      <w:r w:rsidRPr="00CD7B09">
        <w:rPr>
          <w:rFonts w:ascii="Century Gothic" w:eastAsia="Helvetica" w:hAnsi="Century Gothic" w:cs="Helvetica"/>
          <w:sz w:val="22"/>
          <w:szCs w:val="22"/>
        </w:rPr>
        <w:t>ón Segunda se dividirá en dos (2) Subsecciones, cada una de las cuales estará integrada por tres (3) magistrados.</w:t>
      </w:r>
    </w:p>
    <w:p w14:paraId="6500E85D"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c)</w:t>
      </w:r>
      <w:r w:rsidRPr="00CD7B09">
        <w:rPr>
          <w:rFonts w:ascii="Century Gothic" w:eastAsia="Garamond" w:hAnsi="Century Gothic" w:cs="Garamond"/>
          <w:sz w:val="22"/>
          <w:szCs w:val="22"/>
        </w:rPr>
        <w:tab/>
        <w:t>La Secci</w:t>
      </w:r>
      <w:r w:rsidRPr="00CD7B09">
        <w:rPr>
          <w:rFonts w:ascii="Century Gothic" w:eastAsia="Helvetica" w:hAnsi="Century Gothic" w:cs="Helvetica"/>
          <w:sz w:val="22"/>
          <w:szCs w:val="22"/>
        </w:rPr>
        <w:t>ón Tercera se dividirá en tres (3) Subsecciones, cada una de las cuales esta</w:t>
      </w:r>
      <w:r w:rsidRPr="00CD7B09">
        <w:rPr>
          <w:rFonts w:ascii="Century Gothic" w:eastAsia="Garamond" w:hAnsi="Century Gothic" w:cs="Garamond"/>
          <w:sz w:val="22"/>
          <w:szCs w:val="22"/>
        </w:rPr>
        <w:t>r</w:t>
      </w:r>
      <w:r w:rsidRPr="00CD7B09">
        <w:rPr>
          <w:rFonts w:ascii="Century Gothic" w:eastAsia="Helvetica" w:hAnsi="Century Gothic" w:cs="Helvetica"/>
          <w:sz w:val="22"/>
          <w:szCs w:val="22"/>
        </w:rPr>
        <w:t>á integrada por tres (3) magistrados.</w:t>
      </w:r>
    </w:p>
    <w:p w14:paraId="6EDF337D"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d)</w:t>
      </w:r>
      <w:r w:rsidRPr="00CD7B09">
        <w:rPr>
          <w:rFonts w:ascii="Century Gothic" w:eastAsia="Garamond" w:hAnsi="Century Gothic" w:cs="Garamond"/>
          <w:sz w:val="22"/>
          <w:szCs w:val="22"/>
        </w:rPr>
        <w:tab/>
        <w:t>La Secci</w:t>
      </w:r>
      <w:r w:rsidRPr="00CD7B09">
        <w:rPr>
          <w:rFonts w:ascii="Century Gothic" w:eastAsia="Helvetica" w:hAnsi="Century Gothic" w:cs="Helvetica"/>
          <w:sz w:val="22"/>
          <w:szCs w:val="22"/>
        </w:rPr>
        <w:t>ón Cuarta, por cuatro (4) magistrados,</w:t>
      </w:r>
    </w:p>
    <w:p w14:paraId="03C73E58"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e)</w:t>
      </w:r>
      <w:r w:rsidRPr="00CD7B09">
        <w:rPr>
          <w:rFonts w:ascii="Century Gothic" w:eastAsia="Garamond" w:hAnsi="Century Gothic" w:cs="Garamond"/>
          <w:sz w:val="22"/>
          <w:szCs w:val="22"/>
        </w:rPr>
        <w:tab/>
        <w:t>La Secci</w:t>
      </w:r>
      <w:r w:rsidRPr="00CD7B09">
        <w:rPr>
          <w:rFonts w:ascii="Century Gothic" w:eastAsia="Helvetica" w:hAnsi="Century Gothic" w:cs="Helvetica"/>
          <w:sz w:val="22"/>
          <w:szCs w:val="22"/>
        </w:rPr>
        <w:t>ón Quinta, por cuatro (4) magistrados.</w:t>
      </w:r>
    </w:p>
    <w:p w14:paraId="0DAF7A3B"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Sin perjuicio de las espec</w:t>
      </w:r>
      <w:r w:rsidRPr="00CD7B09">
        <w:rPr>
          <w:rFonts w:ascii="Century Gothic" w:eastAsia="Helvetica" w:hAnsi="Century Gothic" w:cs="Helvetica"/>
          <w:sz w:val="22"/>
          <w:szCs w:val="22"/>
        </w:rPr>
        <w:t>íficas competencias que atribuya la ley, el reglamento de la Corporación determinará y asig</w:t>
      </w:r>
      <w:r w:rsidRPr="00CD7B09">
        <w:rPr>
          <w:rFonts w:ascii="Century Gothic" w:eastAsia="Garamond" w:hAnsi="Century Gothic" w:cs="Garamond"/>
          <w:sz w:val="22"/>
          <w:szCs w:val="22"/>
        </w:rPr>
        <w:t>nar</w:t>
      </w:r>
      <w:r w:rsidRPr="00CD7B09">
        <w:rPr>
          <w:rFonts w:ascii="Century Gothic" w:eastAsia="Helvetica" w:hAnsi="Century Gothic" w:cs="Helvetica"/>
          <w:sz w:val="22"/>
          <w:szCs w:val="22"/>
        </w:rPr>
        <w:t>á los asuntos y las materias cuyo conocimiento corresponda a cada Sección y a las respectivas Subsecciones.</w:t>
      </w:r>
    </w:p>
    <w:p w14:paraId="1FF0EF1F"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En la acci</w:t>
      </w:r>
      <w:r w:rsidRPr="00CD7B09">
        <w:rPr>
          <w:rFonts w:ascii="Century Gothic" w:eastAsia="Helvetica" w:hAnsi="Century Gothic" w:cs="Helvetica"/>
          <w:sz w:val="22"/>
          <w:szCs w:val="22"/>
        </w:rPr>
        <w:t>ón de pérdida de investidura de congresista se deberá garantizar la doble conformidad.</w:t>
      </w:r>
    </w:p>
    <w:p w14:paraId="791228E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p>
    <w:p w14:paraId="48B7883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18</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Adici</w:t>
      </w:r>
      <w:r w:rsidRPr="00CD7B09">
        <w:rPr>
          <w:rFonts w:ascii="Century Gothic" w:eastAsia="Helvetica" w:hAnsi="Century Gothic" w:cs="Helvetica"/>
          <w:sz w:val="22"/>
          <w:szCs w:val="22"/>
        </w:rPr>
        <w:t>ónense los siguientes incisos</w:t>
      </w:r>
      <w:r w:rsidRPr="00CD7B09">
        <w:rPr>
          <w:rFonts w:ascii="Century Gothic" w:eastAsia="Garamond" w:hAnsi="Century Gothic" w:cs="Garamond"/>
          <w:sz w:val="22"/>
          <w:szCs w:val="22"/>
        </w:rPr>
        <w:t xml:space="preserve"> al art</w:t>
      </w:r>
      <w:r w:rsidRPr="00CD7B09">
        <w:rPr>
          <w:rFonts w:ascii="Century Gothic" w:eastAsia="Helvetica" w:hAnsi="Century Gothic" w:cs="Helvetica"/>
          <w:sz w:val="22"/>
          <w:szCs w:val="22"/>
        </w:rPr>
        <w:t>ículo 50 de la Ley 270 de 1996:</w:t>
      </w:r>
    </w:p>
    <w:p w14:paraId="43F2B56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En lo concerniente a la Especialidad Agraria y Rural de la Jurisdicci</w:t>
      </w:r>
      <w:r w:rsidRPr="00CD7B09">
        <w:rPr>
          <w:rFonts w:ascii="Century Gothic" w:eastAsia="Helvetica" w:hAnsi="Century Gothic" w:cs="Helvetica"/>
          <w:sz w:val="22"/>
          <w:szCs w:val="22"/>
        </w:rPr>
        <w:t>ón Ordinaria y a la Especialidad Agraria y Rural de la Jurisdicción Contenciosa Administrativa, la distribución de los Despachos Judiciales que hagan parte de las mismas deberá enmarcarse</w:t>
      </w:r>
      <w:r w:rsidRPr="00CD7B09">
        <w:rPr>
          <w:rFonts w:ascii="Century Gothic" w:eastAsia="Garamond" w:hAnsi="Century Gothic" w:cs="Garamond"/>
          <w:sz w:val="22"/>
          <w:szCs w:val="22"/>
        </w:rPr>
        <w:t xml:space="preserve"> en la adecuada cobertura y capacidad en el territorio, con </w:t>
      </w:r>
      <w:r w:rsidRPr="00CD7B09">
        <w:rPr>
          <w:rFonts w:ascii="Century Gothic" w:eastAsia="Helvetica" w:hAnsi="Century Gothic" w:cs="Helvetica"/>
          <w:sz w:val="22"/>
          <w:szCs w:val="22"/>
        </w:rPr>
        <w:t>énfasis en los municipios definidos en el Decreto Ley 893 de 2017, por el cual se crean los programas de desarrollo con enfoque territorial -PDET-, y en los municipios de mayor conflictividad rura</w:t>
      </w:r>
      <w:r w:rsidRPr="00CD7B09">
        <w:rPr>
          <w:rFonts w:ascii="Century Gothic" w:eastAsia="Garamond" w:hAnsi="Century Gothic" w:cs="Garamond"/>
          <w:sz w:val="22"/>
          <w:szCs w:val="22"/>
        </w:rPr>
        <w:t>l y agraria en el pa</w:t>
      </w:r>
      <w:r w:rsidRPr="00CD7B09">
        <w:rPr>
          <w:rFonts w:ascii="Century Gothic" w:eastAsia="Helvetica" w:hAnsi="Century Gothic" w:cs="Helvetica"/>
          <w:sz w:val="22"/>
          <w:szCs w:val="22"/>
        </w:rPr>
        <w:t>ís, sin perjuicio de la ampliación progresiva de la cobertura en todo el territorio nacional.</w:t>
      </w:r>
    </w:p>
    <w:p w14:paraId="5126D69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5A0316F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El Consejo Superior de la Judicatura crear</w:t>
      </w:r>
      <w:r w:rsidRPr="00CD7B09">
        <w:rPr>
          <w:rFonts w:ascii="Century Gothic" w:eastAsia="Helvetica" w:hAnsi="Century Gothic" w:cs="Helvetica"/>
          <w:sz w:val="22"/>
          <w:szCs w:val="22"/>
        </w:rPr>
        <w:t>á los despachos judiciales que sean requeridos para el cumplimiento de la ley, atendiendo a la espe</w:t>
      </w:r>
      <w:r w:rsidRPr="00CD7B09">
        <w:rPr>
          <w:rFonts w:ascii="Century Gothic" w:eastAsia="Garamond" w:hAnsi="Century Gothic" w:cs="Garamond"/>
          <w:sz w:val="22"/>
          <w:szCs w:val="22"/>
        </w:rPr>
        <w:t>cialidad de la materia y a los criterios establecidos en el Acuerdo Final para la terminaci</w:t>
      </w:r>
      <w:r w:rsidRPr="00CD7B09">
        <w:rPr>
          <w:rFonts w:ascii="Century Gothic" w:eastAsia="Helvetica" w:hAnsi="Century Gothic" w:cs="Helvetica"/>
          <w:sz w:val="22"/>
          <w:szCs w:val="22"/>
        </w:rPr>
        <w:t>ón del conflicto y la construcción de una paz estable y duradera, pudiendo basarse, entre otros, en las zonas focalizadas por el Ministerio de Agricultura y Desarrol</w:t>
      </w:r>
      <w:r w:rsidRPr="00CD7B09">
        <w:rPr>
          <w:rFonts w:ascii="Century Gothic" w:eastAsia="Garamond" w:hAnsi="Century Gothic" w:cs="Garamond"/>
          <w:sz w:val="22"/>
          <w:szCs w:val="22"/>
        </w:rPr>
        <w:t>lo Rural.</w:t>
      </w:r>
    </w:p>
    <w:p w14:paraId="4395508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u w:val="single"/>
        </w:rPr>
      </w:pPr>
    </w:p>
    <w:p w14:paraId="523F57D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Para garantizar el acceso a la administraci</w:t>
      </w:r>
      <w:r w:rsidRPr="00CD7B09">
        <w:rPr>
          <w:rFonts w:ascii="Century Gothic" w:eastAsia="Helvetica" w:hAnsi="Century Gothic" w:cs="Helvetica"/>
          <w:sz w:val="22"/>
          <w:szCs w:val="22"/>
        </w:rPr>
        <w:t>ón de justicia, el Consejo Superior de la Judicatura podrá crear Juzgados itinerantes para solventar las necesidades de administración de justicia en algunas zonas del país, de acuerdo con lo previsto e</w:t>
      </w:r>
      <w:r w:rsidRPr="00CD7B09">
        <w:rPr>
          <w:rFonts w:ascii="Century Gothic" w:eastAsia="Garamond" w:hAnsi="Century Gothic" w:cs="Garamond"/>
          <w:sz w:val="22"/>
          <w:szCs w:val="22"/>
        </w:rPr>
        <w:t>n los art</w:t>
      </w:r>
      <w:r w:rsidRPr="00CD7B09">
        <w:rPr>
          <w:rFonts w:ascii="Century Gothic" w:eastAsia="Helvetica" w:hAnsi="Century Gothic" w:cs="Helvetica"/>
          <w:sz w:val="22"/>
          <w:szCs w:val="22"/>
        </w:rPr>
        <w:t>ículos 2 y 51 de esta ley.</w:t>
      </w:r>
    </w:p>
    <w:p w14:paraId="63196BD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614AA1F8" w14:textId="4C20A4DD"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Los despachos judiciales agrarios y rurales administrativos, as</w:t>
      </w:r>
      <w:r w:rsidRPr="00CD7B09">
        <w:rPr>
          <w:rFonts w:ascii="Century Gothic" w:eastAsia="Helvetica" w:hAnsi="Century Gothic" w:cs="Helvetica"/>
          <w:sz w:val="22"/>
          <w:szCs w:val="22"/>
        </w:rPr>
        <w:t>í como los jueces agrarios y rurales ordinarios podrán atender la competencia funcional de ambas especialidades con el propósito de garantizar la atención j</w:t>
      </w:r>
      <w:r w:rsidRPr="00CD7B09">
        <w:rPr>
          <w:rFonts w:ascii="Century Gothic" w:eastAsia="Garamond" w:hAnsi="Century Gothic" w:cs="Garamond"/>
          <w:sz w:val="22"/>
          <w:szCs w:val="22"/>
        </w:rPr>
        <w:t>udicial a los ciudadanos rurales en el territorio nacional. Para lo anterior, se deber</w:t>
      </w:r>
      <w:r w:rsidRPr="00CD7B09">
        <w:rPr>
          <w:rFonts w:ascii="Century Gothic" w:eastAsia="Helvetica" w:hAnsi="Century Gothic" w:cs="Helvetica"/>
          <w:sz w:val="22"/>
          <w:szCs w:val="22"/>
        </w:rPr>
        <w:t>á asegurar que se</w:t>
      </w:r>
      <w:r w:rsidRPr="00CD7B09">
        <w:rPr>
          <w:rFonts w:ascii="Century Gothic" w:eastAsia="Garamond" w:hAnsi="Century Gothic" w:cs="Garamond"/>
          <w:sz w:val="22"/>
          <w:szCs w:val="22"/>
        </w:rPr>
        <w:t xml:space="preserve"> ha puesto en marcha el programa de formaci</w:t>
      </w:r>
      <w:r w:rsidRPr="00CD7B09">
        <w:rPr>
          <w:rFonts w:ascii="Century Gothic" w:eastAsia="Helvetica" w:hAnsi="Century Gothic" w:cs="Helvetica"/>
          <w:sz w:val="22"/>
          <w:szCs w:val="22"/>
        </w:rPr>
        <w:t>ón en derecho agrario y rural para los jueces ordinarios, y en asuntos ordinarios para los jueces administrati</w:t>
      </w:r>
      <w:r w:rsidRPr="00CD7B09">
        <w:rPr>
          <w:rFonts w:ascii="Century Gothic" w:eastAsia="Garamond" w:hAnsi="Century Gothic" w:cs="Garamond"/>
          <w:sz w:val="22"/>
          <w:szCs w:val="22"/>
        </w:rPr>
        <w:t>vos, de conformidad con lo previsto en el art</w:t>
      </w:r>
      <w:r w:rsidRPr="00CD7B09">
        <w:rPr>
          <w:rFonts w:ascii="Century Gothic" w:eastAsia="Helvetica" w:hAnsi="Century Gothic" w:cs="Helvetica"/>
          <w:sz w:val="22"/>
          <w:szCs w:val="22"/>
        </w:rPr>
        <w:t xml:space="preserve">ículo 124 de esta ley. </w:t>
      </w:r>
    </w:p>
    <w:p w14:paraId="07348DE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06346C20" w14:textId="77777777" w:rsidR="00CB1679" w:rsidRPr="00CD7B09" w:rsidRDefault="00CB1679" w:rsidP="00CB1679">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El Consejo Superior de la Judicatura en la creaci</w:t>
      </w:r>
      <w:r w:rsidRPr="00CD7B09">
        <w:rPr>
          <w:rFonts w:ascii="Century Gothic" w:eastAsia="Helvetica" w:hAnsi="Century Gothic" w:cs="Helvetica"/>
          <w:sz w:val="22"/>
          <w:szCs w:val="22"/>
        </w:rPr>
        <w:t xml:space="preserve">ón de los despachos judiciales agrarios y rurales administrativos, incorporará profesionales o tecnólogos en áreas con énfasis en </w:t>
      </w:r>
      <w:r w:rsidRPr="00CD7B09">
        <w:rPr>
          <w:rFonts w:ascii="Century Gothic" w:eastAsia="Garamond" w:hAnsi="Century Gothic" w:cs="Garamond"/>
          <w:sz w:val="22"/>
          <w:szCs w:val="22"/>
        </w:rPr>
        <w:t>informaci</w:t>
      </w:r>
      <w:r w:rsidRPr="00CD7B09">
        <w:rPr>
          <w:rFonts w:ascii="Century Gothic" w:eastAsia="Helvetica" w:hAnsi="Century Gothic" w:cs="Helvetica"/>
          <w:sz w:val="22"/>
          <w:szCs w:val="22"/>
        </w:rPr>
        <w:t>ón geográfica, topográfica, cartográfica y catastral y demás similares. La asignación se realizará por distritos o circuitos según las necesidades.</w:t>
      </w:r>
    </w:p>
    <w:p w14:paraId="2424CA9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327DAB5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 xml:space="preserve">ículo </w:t>
      </w:r>
      <w:r w:rsidRPr="00CD7B09">
        <w:rPr>
          <w:rFonts w:ascii="Century Gothic" w:eastAsia="Garamond" w:hAnsi="Century Gothic" w:cs="Garamond"/>
          <w:b/>
          <w:sz w:val="22"/>
          <w:szCs w:val="22"/>
        </w:rPr>
        <w:t xml:space="preserve">19.  </w:t>
      </w:r>
      <w:r w:rsidRPr="00CD7B09">
        <w:rPr>
          <w:rFonts w:ascii="Century Gothic" w:eastAsia="Garamond" w:hAnsi="Century Gothic" w:cs="Garamond"/>
          <w:sz w:val="22"/>
          <w:szCs w:val="22"/>
        </w:rPr>
        <w:t>Modif</w:t>
      </w:r>
      <w:r w:rsidRPr="00CD7B09">
        <w:rPr>
          <w:rFonts w:ascii="Century Gothic" w:eastAsia="Helvetica" w:hAnsi="Century Gothic" w:cs="Helvetica"/>
          <w:sz w:val="22"/>
          <w:szCs w:val="22"/>
        </w:rPr>
        <w:t>íquese el artículo 51 de la Ley 270 de 1996, el cual quedará así:</w:t>
      </w:r>
    </w:p>
    <w:p w14:paraId="1A2345A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56340D1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51.</w:t>
      </w:r>
      <w:r w:rsidRPr="00CD7B09">
        <w:rPr>
          <w:rFonts w:ascii="Century Gothic" w:eastAsia="Garamond" w:hAnsi="Century Gothic" w:cs="Garamond"/>
          <w:sz w:val="22"/>
          <w:szCs w:val="22"/>
        </w:rPr>
        <w:t xml:space="preserve"> Organizaci</w:t>
      </w:r>
      <w:r w:rsidRPr="00CD7B09">
        <w:rPr>
          <w:rFonts w:ascii="Century Gothic" w:eastAsia="Helvetica" w:hAnsi="Century Gothic" w:cs="Helvetica"/>
          <w:sz w:val="22"/>
          <w:szCs w:val="22"/>
        </w:rPr>
        <w:t>ón básica de los despachos judiciales. La organización básica interna de cada despacho judicial será establecida por el Consejo Superior de la Judicatura, con sujeción a los siguientes parámetros:</w:t>
      </w:r>
    </w:p>
    <w:p w14:paraId="25E6AA4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u w:val="single"/>
        </w:rPr>
      </w:pPr>
    </w:p>
    <w:p w14:paraId="1D205DB6" w14:textId="77777777" w:rsidR="00CB1679" w:rsidRPr="00CD7B09" w:rsidRDefault="00CB1679" w:rsidP="00CB1679">
      <w:pPr>
        <w:numPr>
          <w:ilvl w:val="0"/>
          <w:numId w:val="5"/>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competencias asignadas por la Ley.</w:t>
      </w:r>
    </w:p>
    <w:p w14:paraId="7DB7CDC1" w14:textId="77777777" w:rsidR="00CB1679" w:rsidRPr="00CD7B09" w:rsidRDefault="00CB1679" w:rsidP="00CB1679">
      <w:pPr>
        <w:numPr>
          <w:ilvl w:val="0"/>
          <w:numId w:val="5"/>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El volumen promedio de los asuntos, la carga razonable y el nivel estimado de rendimiento.</w:t>
      </w:r>
    </w:p>
    <w:p w14:paraId="0F5D5FA0" w14:textId="77777777" w:rsidR="00CB1679" w:rsidRPr="00CD7B09" w:rsidRDefault="00CB1679" w:rsidP="00CB1679">
      <w:pPr>
        <w:numPr>
          <w:ilvl w:val="0"/>
          <w:numId w:val="5"/>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necesidades que existan en materia de asistencia y asesor</w:t>
      </w:r>
      <w:r w:rsidRPr="00CD7B09">
        <w:rPr>
          <w:rFonts w:ascii="Century Gothic" w:eastAsia="Helvetica" w:hAnsi="Century Gothic" w:cs="Helvetica"/>
          <w:sz w:val="22"/>
          <w:szCs w:val="22"/>
        </w:rPr>
        <w:t xml:space="preserve">ía en distintas disciplinas. </w:t>
      </w:r>
    </w:p>
    <w:p w14:paraId="0C2A3001" w14:textId="77777777" w:rsidR="00CB1679" w:rsidRPr="00CD7B09" w:rsidRDefault="00CB1679" w:rsidP="00CB1679">
      <w:pPr>
        <w:numPr>
          <w:ilvl w:val="0"/>
          <w:numId w:val="5"/>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Los juzgados agrarios y rurales del circuito y los juzgados agrarios y rurales administrativos deber</w:t>
      </w:r>
      <w:r w:rsidRPr="00CD7B09">
        <w:rPr>
          <w:rFonts w:ascii="Century Gothic" w:eastAsia="Helvetica" w:hAnsi="Century Gothic" w:cs="Helvetica"/>
          <w:sz w:val="22"/>
          <w:szCs w:val="22"/>
        </w:rPr>
        <w:t>án contar con un conciliador en derecho adjunto al despacho y un facilitador que provea información a los ciudadanos con miras a superar las barreras de acceso a la administración de justicia.</w:t>
      </w:r>
    </w:p>
    <w:p w14:paraId="498056A7" w14:textId="77777777" w:rsidR="00CB1679" w:rsidRPr="00CD7B09" w:rsidRDefault="00CB1679" w:rsidP="00CB1679">
      <w:pPr>
        <w:numPr>
          <w:ilvl w:val="0"/>
          <w:numId w:val="5"/>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caracter</w:t>
      </w:r>
      <w:r w:rsidRPr="00CD7B09">
        <w:rPr>
          <w:rFonts w:ascii="Century Gothic" w:eastAsia="Helvetica" w:hAnsi="Century Gothic" w:cs="Helvetica"/>
          <w:sz w:val="22"/>
          <w:szCs w:val="22"/>
        </w:rPr>
        <w:t>ísticas particulares de la d</w:t>
      </w:r>
      <w:r w:rsidRPr="00CD7B09">
        <w:rPr>
          <w:rFonts w:ascii="Century Gothic" w:eastAsia="Garamond" w:hAnsi="Century Gothic" w:cs="Garamond"/>
          <w:sz w:val="22"/>
          <w:szCs w:val="22"/>
        </w:rPr>
        <w:t xml:space="preserve">emanda de justicia existente y potencial conforme a la conflictividad social. </w:t>
      </w:r>
    </w:p>
    <w:p w14:paraId="5B8918A9" w14:textId="77777777" w:rsidR="00CB1679" w:rsidRPr="00CD7B09" w:rsidRDefault="00CB1679" w:rsidP="00CB1679">
      <w:pPr>
        <w:numPr>
          <w:ilvl w:val="0"/>
          <w:numId w:val="5"/>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Los requerimientos de empleados de acuerdo con la carga laboral de cada despacho judicial.</w:t>
      </w:r>
    </w:p>
    <w:p w14:paraId="3583FCFD"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238D3779"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Para estos efectos se considerar</w:t>
      </w:r>
      <w:r w:rsidRPr="00CD7B09">
        <w:rPr>
          <w:rFonts w:ascii="Century Gothic" w:eastAsia="Helvetica" w:hAnsi="Century Gothic" w:cs="Helvetica"/>
          <w:sz w:val="22"/>
          <w:szCs w:val="22"/>
        </w:rPr>
        <w:t>án los informes y estadísticas reportadas por los des</w:t>
      </w:r>
      <w:r w:rsidRPr="00CD7B09">
        <w:rPr>
          <w:rFonts w:ascii="Century Gothic" w:eastAsia="Garamond" w:hAnsi="Century Gothic" w:cs="Garamond"/>
          <w:sz w:val="22"/>
          <w:szCs w:val="22"/>
        </w:rPr>
        <w:t>pachos judiciales, estudios sobre la conflictividad y litigiosidad en los territorios a impactar y los modelos de gesti</w:t>
      </w:r>
      <w:r w:rsidRPr="00CD7B09">
        <w:rPr>
          <w:rFonts w:ascii="Century Gothic" w:eastAsia="Helvetica" w:hAnsi="Century Gothic" w:cs="Helvetica"/>
          <w:sz w:val="22"/>
          <w:szCs w:val="22"/>
        </w:rPr>
        <w:t>ón determinados por el Consejo Superior de la Judicatura.</w:t>
      </w:r>
    </w:p>
    <w:p w14:paraId="7B95F452"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42CAE60D"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Par</w:t>
      </w:r>
      <w:r w:rsidRPr="00CD7B09">
        <w:rPr>
          <w:rFonts w:ascii="Century Gothic" w:eastAsia="Helvetica" w:hAnsi="Century Gothic" w:cs="Helvetica"/>
          <w:b/>
          <w:sz w:val="22"/>
          <w:szCs w:val="22"/>
        </w:rPr>
        <w:t xml:space="preserve">ágrafo. </w:t>
      </w:r>
      <w:r w:rsidRPr="00CD7B09">
        <w:rPr>
          <w:rFonts w:ascii="Century Gothic" w:eastAsia="Garamond" w:hAnsi="Century Gothic" w:cs="Garamond"/>
          <w:sz w:val="22"/>
          <w:szCs w:val="22"/>
        </w:rPr>
        <w:t>Para el caso de la Especialidad Agraria y Rural de la Jurisdicci</w:t>
      </w:r>
      <w:r w:rsidRPr="00CD7B09">
        <w:rPr>
          <w:rFonts w:ascii="Century Gothic" w:eastAsia="Helvetica" w:hAnsi="Century Gothic" w:cs="Helvetica"/>
          <w:sz w:val="22"/>
          <w:szCs w:val="22"/>
        </w:rPr>
        <w:t xml:space="preserve">ón </w:t>
      </w:r>
      <w:r w:rsidRPr="00CD7B09">
        <w:rPr>
          <w:rFonts w:ascii="Century Gothic" w:eastAsia="Garamond" w:hAnsi="Century Gothic" w:cs="Garamond"/>
          <w:sz w:val="22"/>
          <w:szCs w:val="22"/>
        </w:rPr>
        <w:t>Ordinaria y de la Especialidad Agraria y Rural de la Jurisdicci</w:t>
      </w:r>
      <w:r w:rsidRPr="00CD7B09">
        <w:rPr>
          <w:rFonts w:ascii="Century Gothic" w:eastAsia="Helvetica" w:hAnsi="Century Gothic" w:cs="Helvetica"/>
          <w:sz w:val="22"/>
          <w:szCs w:val="22"/>
        </w:rPr>
        <w:t xml:space="preserve">ón Contenciosa Administrativa, conforme lo disponga el Consejo Superior de la Judicatura y lo previsto en la ley, el Juzgado Agrario y Rural o el Juzgado Agrario Administrativo, según el caso, </w:t>
      </w:r>
      <w:r w:rsidRPr="00CD7B09">
        <w:rPr>
          <w:rFonts w:ascii="Century Gothic" w:eastAsia="Garamond" w:hAnsi="Century Gothic" w:cs="Garamond"/>
          <w:sz w:val="22"/>
          <w:szCs w:val="22"/>
        </w:rPr>
        <w:t>podr</w:t>
      </w:r>
      <w:r w:rsidRPr="00CD7B09">
        <w:rPr>
          <w:rFonts w:ascii="Century Gothic" w:eastAsia="Helvetica" w:hAnsi="Century Gothic" w:cs="Helvetica"/>
          <w:sz w:val="22"/>
          <w:szCs w:val="22"/>
        </w:rPr>
        <w:t>á contar con un número plural de jueces que integren el mismo despacho, en calidad de jueces adjuntos, asignándose a cada uno el reparto individual de los procesos para su conocimiento, sin que hubiere entre ellos relación de subordinación</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 xml:space="preserve">con </w:t>
      </w:r>
      <w:r w:rsidRPr="00CD7B09">
        <w:rPr>
          <w:rFonts w:ascii="Century Gothic" w:eastAsia="Helvetica" w:hAnsi="Century Gothic" w:cs="Helvetica"/>
          <w:sz w:val="22"/>
          <w:szCs w:val="22"/>
        </w:rPr>
        <w:t>énfasis</w:t>
      </w:r>
      <w:r w:rsidRPr="00CD7B09">
        <w:rPr>
          <w:rFonts w:ascii="Century Gothic" w:eastAsia="Garamond" w:hAnsi="Century Gothic" w:cs="Garamond"/>
          <w:sz w:val="22"/>
          <w:szCs w:val="22"/>
        </w:rPr>
        <w:t xml:space="preserve"> en los municipios definidos en el Decreto Ley 893 de 2017, por el cual se crean los programas de desarrollo con enfoque territorial, sin perjuicio de la ampliaci</w:t>
      </w:r>
      <w:r w:rsidRPr="00CD7B09">
        <w:rPr>
          <w:rFonts w:ascii="Century Gothic" w:eastAsia="Helvetica" w:hAnsi="Century Gothic" w:cs="Helvetica"/>
          <w:sz w:val="22"/>
          <w:szCs w:val="22"/>
        </w:rPr>
        <w:t>ón progresiva de la cobertura en todo el territorio nacional.</w:t>
      </w:r>
    </w:p>
    <w:p w14:paraId="7CE848BA"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763AF6C3"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u w:val="single"/>
        </w:rPr>
      </w:pPr>
      <w:r w:rsidRPr="00CD7B09">
        <w:rPr>
          <w:rFonts w:ascii="Century Gothic" w:eastAsia="Garamond" w:hAnsi="Century Gothic" w:cs="Garamond"/>
          <w:sz w:val="22"/>
          <w:szCs w:val="22"/>
        </w:rPr>
        <w:t>En lo que refiere a la gesti</w:t>
      </w:r>
      <w:r w:rsidRPr="00CD7B09">
        <w:rPr>
          <w:rFonts w:ascii="Century Gothic" w:eastAsia="Helvetica" w:hAnsi="Century Gothic" w:cs="Helvetica"/>
          <w:sz w:val="22"/>
          <w:szCs w:val="22"/>
        </w:rPr>
        <w:t xml:space="preserve">ón </w:t>
      </w:r>
      <w:r w:rsidRPr="00CD7B09">
        <w:rPr>
          <w:rFonts w:ascii="Century Gothic" w:eastAsia="Garamond" w:hAnsi="Century Gothic" w:cs="Garamond"/>
          <w:sz w:val="22"/>
          <w:szCs w:val="22"/>
        </w:rPr>
        <w:t>administrativa de estos despachos, podr</w:t>
      </w:r>
      <w:r w:rsidRPr="00CD7B09">
        <w:rPr>
          <w:rFonts w:ascii="Century Gothic" w:eastAsia="Helvetica" w:hAnsi="Century Gothic" w:cs="Helvetica"/>
          <w:sz w:val="22"/>
          <w:szCs w:val="22"/>
        </w:rPr>
        <w:t>án compartir logística con las entidades de la rama ejecutiva de mayor presencia en áreas rurales que para ese propósito celebren un convenio interadministrativo con el Consejo Superior de la Judicatura.</w:t>
      </w:r>
    </w:p>
    <w:p w14:paraId="4F1985F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2134F03B"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20</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 xml:space="preserve"> Modif</w:t>
      </w:r>
      <w:r w:rsidRPr="00CD7B09">
        <w:rPr>
          <w:rFonts w:ascii="Century Gothic" w:eastAsia="Helvetica" w:hAnsi="Century Gothic" w:cs="Helvetica"/>
          <w:sz w:val="22"/>
          <w:szCs w:val="22"/>
        </w:rPr>
        <w:t>íquese el artículo 91 de la Ley 270 de 1996, el cual quedará así:</w:t>
      </w:r>
    </w:p>
    <w:p w14:paraId="06F0D450" w14:textId="77777777" w:rsidR="00CB1679" w:rsidRPr="00CD7B09" w:rsidRDefault="00CB1679" w:rsidP="00CB1679">
      <w:pPr>
        <w:ind w:right="49"/>
        <w:jc w:val="both"/>
        <w:rPr>
          <w:rFonts w:ascii="Century Gothic" w:eastAsia="Garamond" w:hAnsi="Century Gothic" w:cs="Garamond"/>
          <w:sz w:val="22"/>
          <w:szCs w:val="22"/>
        </w:rPr>
      </w:pPr>
    </w:p>
    <w:p w14:paraId="600DC279" w14:textId="77777777" w:rsidR="00CB1679" w:rsidRPr="00CD7B09" w:rsidRDefault="00CB1679" w:rsidP="00CB1679">
      <w:pPr>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w:t>
      </w:r>
      <w:r w:rsidRPr="00CD7B09">
        <w:rPr>
          <w:rFonts w:ascii="Century Gothic" w:eastAsia="Helvetica" w:hAnsi="Century Gothic" w:cs="Helvetica"/>
          <w:sz w:val="22"/>
          <w:szCs w:val="22"/>
        </w:rPr>
        <w:t>ículo 91. Creación, fusión y supresión de despachos judiciales. La creación de Tribunales o de sus Salas y de los Juzgados, se debe realizar en función de áreas de geografía unif</w:t>
      </w:r>
      <w:r w:rsidRPr="00CD7B09">
        <w:rPr>
          <w:rFonts w:ascii="Century Gothic" w:eastAsia="Garamond" w:hAnsi="Century Gothic" w:cs="Garamond"/>
          <w:sz w:val="22"/>
          <w:szCs w:val="22"/>
        </w:rPr>
        <w:t>orme, los vol</w:t>
      </w:r>
      <w:r w:rsidRPr="00CD7B09">
        <w:rPr>
          <w:rFonts w:ascii="Century Gothic" w:eastAsia="Helvetica" w:hAnsi="Century Gothic" w:cs="Helvetica"/>
          <w:sz w:val="22"/>
          <w:szCs w:val="22"/>
        </w:rPr>
        <w:t>úmenes demográficos rural y urbano, el crecimiento porcentual intercensal de las Entidades Territoriales, la demanda existente y/o potencial de justicia en las diferentes ramas del derecho, la atención de las dinámicas socioeconómicas de las r</w:t>
      </w:r>
      <w:r w:rsidRPr="00CD7B09">
        <w:rPr>
          <w:rFonts w:ascii="Century Gothic" w:eastAsia="Garamond" w:hAnsi="Century Gothic" w:cs="Garamond"/>
          <w:sz w:val="22"/>
          <w:szCs w:val="22"/>
        </w:rPr>
        <w:t xml:space="preserve">egiones funcionales en aquellos territorios donde </w:t>
      </w:r>
      <w:r w:rsidRPr="00CD7B09">
        <w:rPr>
          <w:rFonts w:ascii="Century Gothic" w:eastAsia="Helvetica" w:hAnsi="Century Gothic" w:cs="Helvetica"/>
          <w:sz w:val="22"/>
          <w:szCs w:val="22"/>
        </w:rPr>
        <w:t>éstas se hubieren establecido, la articulación con autoridades administrativas y actores que participan en la solución de conflictos y la existencia de vías de comunicación y medios de transporte que garant</w:t>
      </w:r>
      <w:r w:rsidRPr="00CD7B09">
        <w:rPr>
          <w:rFonts w:ascii="Century Gothic" w:eastAsia="Garamond" w:hAnsi="Century Gothic" w:cs="Garamond"/>
          <w:sz w:val="22"/>
          <w:szCs w:val="22"/>
        </w:rPr>
        <w:t>icen a la poblaci</w:t>
      </w:r>
      <w:r w:rsidRPr="00CD7B09">
        <w:rPr>
          <w:rFonts w:ascii="Century Gothic" w:eastAsia="Helvetica" w:hAnsi="Century Gothic" w:cs="Helvetica"/>
          <w:sz w:val="22"/>
          <w:szCs w:val="22"/>
        </w:rPr>
        <w:t>ón respectiva un fácil acceso al órgano jurisdiccional, sin perjuicio de la implementación de esquemas de itinerancia en los despachos judiciales.</w:t>
      </w:r>
    </w:p>
    <w:p w14:paraId="0AEA8BC1" w14:textId="77777777" w:rsidR="00CB1679" w:rsidRPr="00CD7B09" w:rsidRDefault="00CB1679" w:rsidP="00CB1679">
      <w:pPr>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fusi</w:t>
      </w:r>
      <w:r w:rsidRPr="00CD7B09">
        <w:rPr>
          <w:rFonts w:ascii="Century Gothic" w:eastAsia="Helvetica" w:hAnsi="Century Gothic" w:cs="Helvetica"/>
          <w:sz w:val="22"/>
          <w:szCs w:val="22"/>
        </w:rPr>
        <w:t>ón se hará conforme a las siguientes reglas:</w:t>
      </w:r>
    </w:p>
    <w:p w14:paraId="63001EE3" w14:textId="77777777" w:rsidR="00CB1679" w:rsidRPr="00CD7B09" w:rsidRDefault="00CB1679" w:rsidP="00CB1679">
      <w:pPr>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1. S</w:t>
      </w:r>
      <w:r w:rsidRPr="00CD7B09">
        <w:rPr>
          <w:rFonts w:ascii="Century Gothic" w:eastAsia="Helvetica" w:hAnsi="Century Gothic" w:cs="Helvetica"/>
          <w:sz w:val="22"/>
          <w:szCs w:val="22"/>
        </w:rPr>
        <w:t>ólo podrán fusionarse Tribunales, Sa</w:t>
      </w:r>
      <w:r w:rsidRPr="00CD7B09">
        <w:rPr>
          <w:rFonts w:ascii="Century Gothic" w:eastAsia="Garamond" w:hAnsi="Century Gothic" w:cs="Garamond"/>
          <w:sz w:val="22"/>
          <w:szCs w:val="22"/>
        </w:rPr>
        <w:t>las o Juzgados de una misma Jurisdicci</w:t>
      </w:r>
      <w:r w:rsidRPr="00CD7B09">
        <w:rPr>
          <w:rFonts w:ascii="Century Gothic" w:eastAsia="Helvetica" w:hAnsi="Century Gothic" w:cs="Helvetica"/>
          <w:sz w:val="22"/>
          <w:szCs w:val="22"/>
        </w:rPr>
        <w:t>ón.</w:t>
      </w:r>
    </w:p>
    <w:p w14:paraId="16ADD803" w14:textId="77777777" w:rsidR="00CB1679" w:rsidRPr="00CD7B09" w:rsidRDefault="00CB1679" w:rsidP="00CB1679">
      <w:pPr>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2. Los despachos que se fusionen deben pertenecer a una misma categor</w:t>
      </w:r>
      <w:r w:rsidRPr="00CD7B09">
        <w:rPr>
          <w:rFonts w:ascii="Century Gothic" w:eastAsia="Helvetica" w:hAnsi="Century Gothic" w:cs="Helvetica"/>
          <w:sz w:val="22"/>
          <w:szCs w:val="22"/>
        </w:rPr>
        <w:t>ía.</w:t>
      </w:r>
    </w:p>
    <w:p w14:paraId="2644B3FF" w14:textId="77777777" w:rsidR="00CB1679" w:rsidRPr="00CD7B09" w:rsidRDefault="00CB1679" w:rsidP="00CB1679">
      <w:pPr>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3. Pueden fusionarse tribunales, Salas y Juzgados de esta o de distinta especialidad.</w:t>
      </w:r>
    </w:p>
    <w:p w14:paraId="34BA0D5D" w14:textId="77777777" w:rsidR="00CB1679" w:rsidRPr="00CD7B09" w:rsidRDefault="00CB1679" w:rsidP="00CB1679">
      <w:pPr>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la facultad de supresi</w:t>
      </w:r>
      <w:r w:rsidRPr="00CD7B09">
        <w:rPr>
          <w:rFonts w:ascii="Century Gothic" w:eastAsia="Helvetica" w:hAnsi="Century Gothic" w:cs="Helvetica"/>
          <w:sz w:val="22"/>
          <w:szCs w:val="22"/>
        </w:rPr>
        <w:t xml:space="preserve">ón se hará uso cuando </w:t>
      </w:r>
      <w:r w:rsidRPr="00CD7B09">
        <w:rPr>
          <w:rFonts w:ascii="Century Gothic" w:eastAsia="Garamond" w:hAnsi="Century Gothic" w:cs="Garamond"/>
          <w:sz w:val="22"/>
          <w:szCs w:val="22"/>
        </w:rPr>
        <w:t>disminuya la demanda existente y potencial de justicia en una determinada especialidad o comprensi</w:t>
      </w:r>
      <w:r w:rsidRPr="00CD7B09">
        <w:rPr>
          <w:rFonts w:ascii="Century Gothic" w:eastAsia="Helvetica" w:hAnsi="Century Gothic" w:cs="Helvetica"/>
          <w:sz w:val="22"/>
          <w:szCs w:val="22"/>
        </w:rPr>
        <w:t>ón territorial.</w:t>
      </w:r>
    </w:p>
    <w:p w14:paraId="609F6673" w14:textId="77777777" w:rsidR="00CB1679" w:rsidRPr="00CD7B09" w:rsidRDefault="00CB1679" w:rsidP="00CB1679">
      <w:pPr>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supresi</w:t>
      </w:r>
      <w:r w:rsidRPr="00CD7B09">
        <w:rPr>
          <w:rFonts w:ascii="Century Gothic" w:eastAsia="Helvetica" w:hAnsi="Century Gothic" w:cs="Helvetica"/>
          <w:sz w:val="22"/>
          <w:szCs w:val="22"/>
        </w:rPr>
        <w:t>ón de despachos judiciales implica la supresión de los cargos de los funcionarios y empleados vinculados a ellos.</w:t>
      </w:r>
    </w:p>
    <w:p w14:paraId="5E2A366C" w14:textId="77777777" w:rsidR="00CB1679" w:rsidRPr="00CD7B09" w:rsidRDefault="00CB1679" w:rsidP="00CB1679">
      <w:pPr>
        <w:ind w:left="567" w:right="49"/>
        <w:jc w:val="both"/>
        <w:rPr>
          <w:rFonts w:ascii="Century Gothic" w:eastAsia="Garamond" w:hAnsi="Century Gothic" w:cs="Garamond"/>
          <w:sz w:val="22"/>
          <w:szCs w:val="22"/>
        </w:rPr>
      </w:pPr>
    </w:p>
    <w:p w14:paraId="1476B59D" w14:textId="77777777" w:rsidR="00CB1679" w:rsidRPr="00CD7B09" w:rsidRDefault="00CB1679" w:rsidP="00CB1679">
      <w:pPr>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w:t>
      </w:r>
      <w:r w:rsidRPr="00CD7B09">
        <w:rPr>
          <w:rFonts w:ascii="Century Gothic" w:eastAsia="Helvetica" w:hAnsi="Century Gothic" w:cs="Helvetica"/>
          <w:sz w:val="22"/>
          <w:szCs w:val="22"/>
        </w:rPr>
        <w:t>ÁGRAFO. Para l</w:t>
      </w:r>
      <w:r w:rsidRPr="00CD7B09">
        <w:rPr>
          <w:rFonts w:ascii="Century Gothic" w:eastAsia="Garamond" w:hAnsi="Century Gothic" w:cs="Garamond"/>
          <w:sz w:val="22"/>
          <w:szCs w:val="22"/>
        </w:rPr>
        <w:t>a determinaci</w:t>
      </w:r>
      <w:r w:rsidRPr="00CD7B09">
        <w:rPr>
          <w:rFonts w:ascii="Century Gothic" w:eastAsia="Helvetica" w:hAnsi="Century Gothic" w:cs="Helvetica"/>
          <w:sz w:val="22"/>
          <w:szCs w:val="22"/>
        </w:rPr>
        <w:t xml:space="preserve">ón sobre la creación, fusión y supresión de despachos judiciales, el Consejo Superior de la Judicatura, además de los criterios previstos en esta Ley, tendrá en cuenta los diagnósticos, modelos y estrategias en materia de acceso a la justicia </w:t>
      </w:r>
      <w:r w:rsidRPr="00CD7B09">
        <w:rPr>
          <w:rFonts w:ascii="Century Gothic" w:eastAsia="Garamond" w:hAnsi="Century Gothic" w:cs="Garamond"/>
          <w:sz w:val="22"/>
          <w:szCs w:val="22"/>
        </w:rPr>
        <w:t>que se elaboren desde el Gobierno Nacional, los informes elaborados por la Defensor</w:t>
      </w:r>
      <w:r w:rsidRPr="00CD7B09">
        <w:rPr>
          <w:rFonts w:ascii="Century Gothic" w:eastAsia="Helvetica" w:hAnsi="Century Gothic" w:cs="Helvetica"/>
          <w:sz w:val="22"/>
          <w:szCs w:val="22"/>
        </w:rPr>
        <w:t>ía del Pueblo, así como las acciones relacionadas con la materia, que se planteen en los escenarios interinstitucionales de coordinación a nivel territorial, conforme a lo e</w:t>
      </w:r>
      <w:r w:rsidRPr="00CD7B09">
        <w:rPr>
          <w:rFonts w:ascii="Century Gothic" w:eastAsia="Garamond" w:hAnsi="Century Gothic" w:cs="Garamond"/>
          <w:sz w:val="22"/>
          <w:szCs w:val="22"/>
        </w:rPr>
        <w:t>stablecido en el art</w:t>
      </w:r>
      <w:r w:rsidRPr="00CD7B09">
        <w:rPr>
          <w:rFonts w:ascii="Century Gothic" w:eastAsia="Helvetica" w:hAnsi="Century Gothic" w:cs="Helvetica"/>
          <w:sz w:val="22"/>
          <w:szCs w:val="22"/>
        </w:rPr>
        <w:t>ículo 86 de esta Ley, y en todo caso, previo concepto favorable y vinculante de la Comisión Interinstitucional.</w:t>
      </w:r>
    </w:p>
    <w:p w14:paraId="2921FC7D" w14:textId="77777777" w:rsidR="00CB1679" w:rsidRPr="00CD7B09" w:rsidRDefault="00CB1679" w:rsidP="00CB1679">
      <w:pPr>
        <w:ind w:left="567" w:right="49"/>
        <w:jc w:val="both"/>
        <w:rPr>
          <w:rFonts w:ascii="Century Gothic" w:eastAsia="Garamond" w:hAnsi="Century Gothic" w:cs="Garamond"/>
          <w:sz w:val="22"/>
          <w:szCs w:val="22"/>
        </w:rPr>
      </w:pPr>
    </w:p>
    <w:p w14:paraId="17E0009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w:t>
      </w:r>
      <w:r w:rsidRPr="00CD7B09">
        <w:rPr>
          <w:rFonts w:ascii="Century Gothic" w:eastAsia="Helvetica" w:hAnsi="Century Gothic" w:cs="Helvetica"/>
          <w:sz w:val="22"/>
          <w:szCs w:val="22"/>
        </w:rPr>
        <w:t>ágrafo 2. Para el caso de los Juzgados Agrarios y Rurales que de</w:t>
      </w:r>
      <w:r w:rsidRPr="00CD7B09">
        <w:rPr>
          <w:rFonts w:ascii="Century Gothic" w:eastAsia="Garamond" w:hAnsi="Century Gothic" w:cs="Garamond"/>
          <w:sz w:val="22"/>
          <w:szCs w:val="22"/>
        </w:rPr>
        <w:t>termine el Consejo Superior de la Judicatura de conformidad con las necesidades de la administraci</w:t>
      </w:r>
      <w:r w:rsidRPr="00CD7B09">
        <w:rPr>
          <w:rFonts w:ascii="Century Gothic" w:eastAsia="Helvetica" w:hAnsi="Century Gothic" w:cs="Helvetica"/>
          <w:sz w:val="22"/>
          <w:szCs w:val="22"/>
        </w:rPr>
        <w:t xml:space="preserve">ón de justicia y </w:t>
      </w:r>
      <w:r w:rsidRPr="00CD7B09">
        <w:rPr>
          <w:rFonts w:ascii="Century Gothic" w:eastAsia="Garamond" w:hAnsi="Century Gothic" w:cs="Garamond"/>
          <w:sz w:val="22"/>
          <w:szCs w:val="22"/>
        </w:rPr>
        <w:t>el cumplimiento de las funciones que prevea la ley procesal en cada circuito o municipio, dicha corporaci</w:t>
      </w:r>
      <w:r w:rsidRPr="00CD7B09">
        <w:rPr>
          <w:rFonts w:ascii="Century Gothic" w:eastAsia="Helvetica" w:hAnsi="Century Gothic" w:cs="Helvetica"/>
          <w:sz w:val="22"/>
          <w:szCs w:val="22"/>
        </w:rPr>
        <w:t xml:space="preserve">ón establecerá sus </w:t>
      </w:r>
      <w:r w:rsidRPr="00CD7B09">
        <w:rPr>
          <w:rFonts w:ascii="Century Gothic" w:eastAsia="Garamond" w:hAnsi="Century Gothic" w:cs="Garamond"/>
          <w:sz w:val="22"/>
          <w:szCs w:val="22"/>
        </w:rPr>
        <w:t>caracter</w:t>
      </w:r>
      <w:r w:rsidRPr="00CD7B09">
        <w:rPr>
          <w:rFonts w:ascii="Century Gothic" w:eastAsia="Helvetica" w:hAnsi="Century Gothic" w:cs="Helvetica"/>
          <w:sz w:val="22"/>
          <w:szCs w:val="22"/>
        </w:rPr>
        <w:t>ísticas, denominación y número de conformid</w:t>
      </w:r>
      <w:r w:rsidRPr="00CD7B09">
        <w:rPr>
          <w:rFonts w:ascii="Century Gothic" w:eastAsia="Garamond" w:hAnsi="Century Gothic" w:cs="Garamond"/>
          <w:sz w:val="22"/>
          <w:szCs w:val="22"/>
        </w:rPr>
        <w:t>ad con lo establecido en la ley y deber</w:t>
      </w:r>
      <w:r w:rsidRPr="00CD7B09">
        <w:rPr>
          <w:rFonts w:ascii="Century Gothic" w:eastAsia="Helvetica" w:hAnsi="Century Gothic" w:cs="Helvetica"/>
          <w:sz w:val="22"/>
          <w:szCs w:val="22"/>
        </w:rPr>
        <w:t>á asegurar</w:t>
      </w:r>
      <w:r w:rsidRPr="00CD7B09">
        <w:rPr>
          <w:rFonts w:ascii="Century Gothic" w:eastAsia="Garamond" w:hAnsi="Century Gothic" w:cs="Garamond"/>
          <w:sz w:val="22"/>
          <w:szCs w:val="22"/>
        </w:rPr>
        <w:t xml:space="preserve"> la adecuada cobertura y capacidad en el territorio, con </w:t>
      </w:r>
      <w:r w:rsidRPr="00CD7B09">
        <w:rPr>
          <w:rFonts w:ascii="Century Gothic" w:eastAsia="Helvetica" w:hAnsi="Century Gothic" w:cs="Helvetica"/>
          <w:sz w:val="22"/>
          <w:szCs w:val="22"/>
        </w:rPr>
        <w:t>énfasis en los municipios definidos en el Decreto Ley 893 de 2017, por el cual se crean los programas de desarrollo con enfoque territorial -PDET-, y en los municipios de m</w:t>
      </w:r>
      <w:r w:rsidRPr="00CD7B09">
        <w:rPr>
          <w:rFonts w:ascii="Century Gothic" w:eastAsia="Garamond" w:hAnsi="Century Gothic" w:cs="Garamond"/>
          <w:sz w:val="22"/>
          <w:szCs w:val="22"/>
        </w:rPr>
        <w:t>ayor conflictividad rural y agraria en el pa</w:t>
      </w:r>
      <w:r w:rsidRPr="00CD7B09">
        <w:rPr>
          <w:rFonts w:ascii="Century Gothic" w:eastAsia="Helvetica" w:hAnsi="Century Gothic" w:cs="Helvetica"/>
          <w:sz w:val="22"/>
          <w:szCs w:val="22"/>
        </w:rPr>
        <w:t>ís, sin perjuicio de la ampliación progresiva de la cobertura en todo el territorio nacional.</w:t>
      </w:r>
    </w:p>
    <w:p w14:paraId="07831E5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b/>
          <w:sz w:val="22"/>
          <w:szCs w:val="22"/>
        </w:rPr>
      </w:pPr>
    </w:p>
    <w:p w14:paraId="4C2E8FC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21</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Modif</w:t>
      </w:r>
      <w:r w:rsidRPr="00CD7B09">
        <w:rPr>
          <w:rFonts w:ascii="Century Gothic" w:eastAsia="Helvetica" w:hAnsi="Century Gothic" w:cs="Helvetica"/>
          <w:sz w:val="22"/>
          <w:szCs w:val="22"/>
        </w:rPr>
        <w:t>íquese el artículo 202 de la Ley 270 de 1996, el cual quedará así:</w:t>
      </w:r>
    </w:p>
    <w:p w14:paraId="314F497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49C1671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202.</w:t>
      </w:r>
      <w:r w:rsidRPr="00CD7B09">
        <w:rPr>
          <w:rFonts w:ascii="Century Gothic" w:eastAsia="Garamond" w:hAnsi="Century Gothic" w:cs="Garamond"/>
          <w:sz w:val="22"/>
          <w:szCs w:val="22"/>
        </w:rPr>
        <w:t xml:space="preserve"> Los despachos judiciales agrarios y rurales de la jurisdicci</w:t>
      </w:r>
      <w:r w:rsidRPr="00CD7B09">
        <w:rPr>
          <w:rFonts w:ascii="Century Gothic" w:eastAsia="Helvetica" w:hAnsi="Century Gothic" w:cs="Helvetica"/>
          <w:sz w:val="22"/>
          <w:szCs w:val="22"/>
        </w:rPr>
        <w:t>ón ordinaria y los despachos agrarios y rurales de la jurisdicción de lo contencioso administrativo, con todo su personal y sus recursos físicos, serán organizados por el Consejo Superior de la J</w:t>
      </w:r>
      <w:r w:rsidRPr="00CD7B09">
        <w:rPr>
          <w:rFonts w:ascii="Century Gothic" w:eastAsia="Garamond" w:hAnsi="Century Gothic" w:cs="Garamond"/>
          <w:sz w:val="22"/>
          <w:szCs w:val="22"/>
        </w:rPr>
        <w:t>udicatura, el cual dispondr</w:t>
      </w:r>
      <w:r w:rsidRPr="00CD7B09">
        <w:rPr>
          <w:rFonts w:ascii="Century Gothic" w:eastAsia="Helvetica" w:hAnsi="Century Gothic" w:cs="Helvetica"/>
          <w:sz w:val="22"/>
          <w:szCs w:val="22"/>
        </w:rPr>
        <w:t xml:space="preserve">á todo lo necesario para que la Especialidad Agraria y Rural de la Jurisdicción Ordinaria y la Especialidad Agraria y Rural de la Jurisdicción Contenciosa Administrativa entren en funcionamiento en su totalidad, en un término no </w:t>
      </w:r>
      <w:r w:rsidRPr="00CD7B09">
        <w:rPr>
          <w:rFonts w:ascii="Century Gothic" w:eastAsia="Garamond" w:hAnsi="Century Gothic" w:cs="Garamond"/>
          <w:sz w:val="22"/>
          <w:szCs w:val="22"/>
        </w:rPr>
        <w:t>mayor a treinta y seis (36) meses, contados a partir de la promulgaci</w:t>
      </w:r>
      <w:r w:rsidRPr="00CD7B09">
        <w:rPr>
          <w:rFonts w:ascii="Century Gothic" w:eastAsia="Helvetica" w:hAnsi="Century Gothic" w:cs="Helvetica"/>
          <w:sz w:val="22"/>
          <w:szCs w:val="22"/>
        </w:rPr>
        <w:t>ón de la presente ley, con énfasis en los municipios definidos en el Decreto Ley 893 de 2017, por el cual se crean los programas de desarrollo con enfoque territorial -PDET-, y en los mun</w:t>
      </w:r>
      <w:r w:rsidRPr="00CD7B09">
        <w:rPr>
          <w:rFonts w:ascii="Century Gothic" w:eastAsia="Garamond" w:hAnsi="Century Gothic" w:cs="Garamond"/>
          <w:sz w:val="22"/>
          <w:szCs w:val="22"/>
        </w:rPr>
        <w:t>icipios de mayor conflictividad rural y agraria en el pa</w:t>
      </w:r>
      <w:r w:rsidRPr="00CD7B09">
        <w:rPr>
          <w:rFonts w:ascii="Century Gothic" w:eastAsia="Helvetica" w:hAnsi="Century Gothic" w:cs="Helvetica"/>
          <w:sz w:val="22"/>
          <w:szCs w:val="22"/>
        </w:rPr>
        <w:t>ís, sin perjuicio de la ampliación progresiva de la cobertura en todo el territorio nacional.</w:t>
      </w:r>
    </w:p>
    <w:p w14:paraId="1B9BCA0D"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42A3042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22</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Modif</w:t>
      </w:r>
      <w:r w:rsidRPr="00CD7B09">
        <w:rPr>
          <w:rFonts w:ascii="Century Gothic" w:eastAsia="Helvetica" w:hAnsi="Century Gothic" w:cs="Helvetica"/>
          <w:sz w:val="22"/>
          <w:szCs w:val="22"/>
        </w:rPr>
        <w:t>íquese el artículo 107 de la Ley 1437 de 2011, el cual quedará así:</w:t>
      </w:r>
    </w:p>
    <w:p w14:paraId="02E3253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5F164DD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107</w:t>
      </w:r>
      <w:r w:rsidRPr="00CD7B09">
        <w:rPr>
          <w:rFonts w:ascii="Century Gothic" w:eastAsia="Garamond" w:hAnsi="Century Gothic" w:cs="Garamond"/>
          <w:sz w:val="22"/>
          <w:szCs w:val="22"/>
        </w:rPr>
        <w:t>. Integraci</w:t>
      </w:r>
      <w:r w:rsidRPr="00CD7B09">
        <w:rPr>
          <w:rFonts w:ascii="Century Gothic" w:eastAsia="Helvetica" w:hAnsi="Century Gothic" w:cs="Helvetica"/>
          <w:sz w:val="22"/>
          <w:szCs w:val="22"/>
        </w:rPr>
        <w:t>ón y composición. El Consejo de Estado es el Tribunal Supremo de lo Contencioso Administrativo y Cuerpo Supremo Consultivo del Gobierno. Estará integrado por treinta y tres (33) Magistrados.</w:t>
      </w:r>
    </w:p>
    <w:p w14:paraId="75B451A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21AD2E6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Ejercer</w:t>
      </w:r>
      <w:r w:rsidRPr="00CD7B09">
        <w:rPr>
          <w:rFonts w:ascii="Century Gothic" w:eastAsia="Helvetica" w:hAnsi="Century Gothic" w:cs="Helvetica"/>
          <w:sz w:val="22"/>
          <w:szCs w:val="22"/>
        </w:rPr>
        <w:t>á sus funciones por medio de tres (3) salas, int</w:t>
      </w:r>
      <w:r w:rsidRPr="00CD7B09">
        <w:rPr>
          <w:rFonts w:ascii="Century Gothic" w:eastAsia="Garamond" w:hAnsi="Century Gothic" w:cs="Garamond"/>
          <w:sz w:val="22"/>
          <w:szCs w:val="22"/>
        </w:rPr>
        <w:t>egradas as</w:t>
      </w:r>
      <w:r w:rsidRPr="00CD7B09">
        <w:rPr>
          <w:rFonts w:ascii="Century Gothic" w:eastAsia="Helvetica" w:hAnsi="Century Gothic" w:cs="Helvetica"/>
          <w:sz w:val="22"/>
          <w:szCs w:val="22"/>
        </w:rPr>
        <w:t>í: la Plena, por todos sus miembros; la de lo Contencioso Administrativo, por veintinueve (29) Magistrados y la de Consulta y Servicio Civil, por los cuatro (4) Magistrados restantes.</w:t>
      </w:r>
    </w:p>
    <w:p w14:paraId="0BDA5B9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52F7B95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Igualmente, tendr</w:t>
      </w:r>
      <w:r w:rsidRPr="00CD7B09">
        <w:rPr>
          <w:rFonts w:ascii="Century Gothic" w:eastAsia="Helvetica" w:hAnsi="Century Gothic" w:cs="Helvetica"/>
          <w:sz w:val="22"/>
          <w:szCs w:val="22"/>
        </w:rPr>
        <w:t>á una Sala de Gobierno, conformada por el pr</w:t>
      </w:r>
      <w:r w:rsidRPr="00CD7B09">
        <w:rPr>
          <w:rFonts w:ascii="Century Gothic" w:eastAsia="Garamond" w:hAnsi="Century Gothic" w:cs="Garamond"/>
          <w:sz w:val="22"/>
          <w:szCs w:val="22"/>
        </w:rPr>
        <w:t>esidente y el vicepresidente del Consejo de Estado y por los Presidentes de la Sala de Consulta y Servicio Civil y de las secciones de la Sala de lo Contencioso Administrativo.</w:t>
      </w:r>
    </w:p>
    <w:p w14:paraId="048D4AF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3B82C1B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Cr</w:t>
      </w:r>
      <w:r w:rsidRPr="00CD7B09">
        <w:rPr>
          <w:rFonts w:ascii="Century Gothic" w:eastAsia="Helvetica" w:hAnsi="Century Gothic" w:cs="Helvetica"/>
          <w:sz w:val="22"/>
          <w:szCs w:val="22"/>
        </w:rPr>
        <w:t>éanse en el Consejo de Estado las salas especiales de decisión, además de la</w:t>
      </w:r>
      <w:r w:rsidRPr="00CD7B09">
        <w:rPr>
          <w:rFonts w:ascii="Century Gothic" w:eastAsia="Garamond" w:hAnsi="Century Gothic" w:cs="Garamond"/>
          <w:sz w:val="22"/>
          <w:szCs w:val="22"/>
        </w:rPr>
        <w:t>s reguladas en este C</w:t>
      </w:r>
      <w:r w:rsidRPr="00CD7B09">
        <w:rPr>
          <w:rFonts w:ascii="Century Gothic" w:eastAsia="Helvetica" w:hAnsi="Century Gothic" w:cs="Helvetica"/>
          <w:sz w:val="22"/>
          <w:szCs w:val="22"/>
        </w:rPr>
        <w:t>ódigo, encargadas de decidir los procesos sometidos a la Sala Plena de lo Contencioso Administrativo, que esta les encomiende, salvo de los procesos de pérdida de investidura y de nulidad por inconstitucionalidad. Estas Salas estarán i</w:t>
      </w:r>
      <w:r w:rsidRPr="00CD7B09">
        <w:rPr>
          <w:rFonts w:ascii="Century Gothic" w:eastAsia="Garamond" w:hAnsi="Century Gothic" w:cs="Garamond"/>
          <w:sz w:val="22"/>
          <w:szCs w:val="22"/>
        </w:rPr>
        <w:t>ntegradas por cuatro (4) magistrados, uno por cada una de las secciones que la conforman, con exclusi</w:t>
      </w:r>
      <w:r w:rsidRPr="00CD7B09">
        <w:rPr>
          <w:rFonts w:ascii="Century Gothic" w:eastAsia="Helvetica" w:hAnsi="Century Gothic" w:cs="Helvetica"/>
          <w:sz w:val="22"/>
          <w:szCs w:val="22"/>
        </w:rPr>
        <w:t>ón de la que hubiere conocido del asunto, si fuere el caso.</w:t>
      </w:r>
    </w:p>
    <w:p w14:paraId="224DB82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1A9FB9D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integraci</w:t>
      </w:r>
      <w:r w:rsidRPr="00CD7B09">
        <w:rPr>
          <w:rFonts w:ascii="Century Gothic" w:eastAsia="Helvetica" w:hAnsi="Century Gothic" w:cs="Helvetica"/>
          <w:sz w:val="22"/>
          <w:szCs w:val="22"/>
        </w:rPr>
        <w:t xml:space="preserve">ón y funcionamiento de dichas salas especiales, se hará de conformidad con lo que </w:t>
      </w:r>
      <w:r w:rsidRPr="00CD7B09">
        <w:rPr>
          <w:rFonts w:ascii="Century Gothic" w:eastAsia="Garamond" w:hAnsi="Century Gothic" w:cs="Garamond"/>
          <w:sz w:val="22"/>
          <w:szCs w:val="22"/>
        </w:rPr>
        <w:t>al respecto establezca el reglamento interno.</w:t>
      </w:r>
    </w:p>
    <w:p w14:paraId="7CA953F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0707AD1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Par</w:t>
      </w:r>
      <w:r w:rsidRPr="00CD7B09">
        <w:rPr>
          <w:rFonts w:ascii="Century Gothic" w:eastAsia="Helvetica" w:hAnsi="Century Gothic" w:cs="Helvetica"/>
          <w:b/>
          <w:sz w:val="22"/>
          <w:szCs w:val="22"/>
        </w:rPr>
        <w:t>ágrafo.</w:t>
      </w:r>
      <w:r w:rsidRPr="00CD7B09">
        <w:rPr>
          <w:rFonts w:ascii="Century Gothic" w:eastAsia="Garamond" w:hAnsi="Century Gothic" w:cs="Garamond"/>
          <w:sz w:val="22"/>
          <w:szCs w:val="22"/>
        </w:rPr>
        <w:t xml:space="preserve"> La Secci</w:t>
      </w:r>
      <w:r w:rsidRPr="00CD7B09">
        <w:rPr>
          <w:rFonts w:ascii="Century Gothic" w:eastAsia="Helvetica" w:hAnsi="Century Gothic" w:cs="Helvetica"/>
          <w:sz w:val="22"/>
          <w:szCs w:val="22"/>
        </w:rPr>
        <w:t>ón Primera del Consejo de Estado estará integrada por seis (6) consejeros y conocerá de los asuntos agrarios y rurales administrativos.</w:t>
      </w:r>
    </w:p>
    <w:p w14:paraId="4C87E3D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143D319C"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23</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Modif</w:t>
      </w:r>
      <w:r w:rsidRPr="00CD7B09">
        <w:rPr>
          <w:rFonts w:ascii="Century Gothic" w:eastAsia="Helvetica" w:hAnsi="Century Gothic" w:cs="Helvetica"/>
          <w:sz w:val="22"/>
          <w:szCs w:val="22"/>
        </w:rPr>
        <w:t xml:space="preserve">íquese el artículo 110 de la Ley </w:t>
      </w:r>
      <w:r w:rsidRPr="00CD7B09">
        <w:rPr>
          <w:rFonts w:ascii="Century Gothic" w:eastAsia="Garamond" w:hAnsi="Century Gothic" w:cs="Garamond"/>
          <w:sz w:val="22"/>
          <w:szCs w:val="22"/>
        </w:rPr>
        <w:t>1437 de 2011, el cual quedar</w:t>
      </w:r>
      <w:r w:rsidRPr="00CD7B09">
        <w:rPr>
          <w:rFonts w:ascii="Century Gothic" w:eastAsia="Helvetica" w:hAnsi="Century Gothic" w:cs="Helvetica"/>
          <w:sz w:val="22"/>
          <w:szCs w:val="22"/>
        </w:rPr>
        <w:t>á así:</w:t>
      </w:r>
    </w:p>
    <w:p w14:paraId="0AA4FA7A"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b/>
          <w:sz w:val="22"/>
          <w:szCs w:val="22"/>
        </w:rPr>
      </w:pPr>
    </w:p>
    <w:p w14:paraId="7629D4C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110.</w:t>
      </w:r>
      <w:r w:rsidRPr="00CD7B09">
        <w:rPr>
          <w:rFonts w:ascii="Century Gothic" w:eastAsia="Garamond" w:hAnsi="Century Gothic" w:cs="Garamond"/>
          <w:sz w:val="22"/>
          <w:szCs w:val="22"/>
        </w:rPr>
        <w:t xml:space="preserve"> Integraci</w:t>
      </w:r>
      <w:r w:rsidRPr="00CD7B09">
        <w:rPr>
          <w:rFonts w:ascii="Century Gothic" w:eastAsia="Helvetica" w:hAnsi="Century Gothic" w:cs="Helvetica"/>
          <w:sz w:val="22"/>
          <w:szCs w:val="22"/>
        </w:rPr>
        <w:t>ón de la Sala de lo Contencioso Administrativo. La Sala de lo Contencioso Administrativo se dividirá en cinco (5) secciones, cada una de las cuales ejercerá separadamente las funciones que de confo</w:t>
      </w:r>
      <w:r w:rsidRPr="00CD7B09">
        <w:rPr>
          <w:rFonts w:ascii="Century Gothic" w:eastAsia="Garamond" w:hAnsi="Century Gothic" w:cs="Garamond"/>
          <w:sz w:val="22"/>
          <w:szCs w:val="22"/>
        </w:rPr>
        <w:t>rmidad con su especialidad y cantidad de trabajo le asigne la Sala Plena del Consejo de Estado, de acuerdo con la ley y el reglamento interno de la Corporaci</w:t>
      </w:r>
      <w:r w:rsidRPr="00CD7B09">
        <w:rPr>
          <w:rFonts w:ascii="Century Gothic" w:eastAsia="Helvetica" w:hAnsi="Century Gothic" w:cs="Helvetica"/>
          <w:sz w:val="22"/>
          <w:szCs w:val="22"/>
        </w:rPr>
        <w:t>ón y estarán integradas de la siguiente manera:</w:t>
      </w:r>
    </w:p>
    <w:p w14:paraId="3DD430C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105F35F5" w14:textId="77777777" w:rsidR="00CB1679" w:rsidRPr="00CD7B09" w:rsidRDefault="00CB1679" w:rsidP="00CB1679">
      <w:pPr>
        <w:widowControl w:val="0"/>
        <w:numPr>
          <w:ilvl w:val="0"/>
          <w:numId w:val="7"/>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Secci</w:t>
      </w:r>
      <w:r w:rsidRPr="00CD7B09">
        <w:rPr>
          <w:rFonts w:ascii="Century Gothic" w:eastAsia="Helvetica" w:hAnsi="Century Gothic" w:cs="Helvetica"/>
          <w:sz w:val="22"/>
          <w:szCs w:val="22"/>
        </w:rPr>
        <w:t xml:space="preserve">ón Primera, se integrará por dos (2) </w:t>
      </w:r>
      <w:r w:rsidRPr="00CD7B09">
        <w:rPr>
          <w:rFonts w:ascii="Century Gothic" w:eastAsia="Garamond" w:hAnsi="Century Gothic" w:cs="Garamond"/>
          <w:sz w:val="22"/>
          <w:szCs w:val="22"/>
        </w:rPr>
        <w:t>subsecciones, cada una de las cuales estar</w:t>
      </w:r>
      <w:r w:rsidRPr="00CD7B09">
        <w:rPr>
          <w:rFonts w:ascii="Century Gothic" w:eastAsia="Helvetica" w:hAnsi="Century Gothic" w:cs="Helvetica"/>
          <w:sz w:val="22"/>
          <w:szCs w:val="22"/>
        </w:rPr>
        <w:t>á integrada por tres (3) magistrados y conocerá de los asuntos agrarios y rurales.</w:t>
      </w:r>
    </w:p>
    <w:p w14:paraId="2FA5A350" w14:textId="77777777" w:rsidR="00CB1679" w:rsidRPr="00CD7B09" w:rsidRDefault="00CB1679" w:rsidP="00CB1679">
      <w:pPr>
        <w:widowControl w:val="0"/>
        <w:numPr>
          <w:ilvl w:val="0"/>
          <w:numId w:val="7"/>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Secci</w:t>
      </w:r>
      <w:r w:rsidRPr="00CD7B09">
        <w:rPr>
          <w:rFonts w:ascii="Century Gothic" w:eastAsia="Helvetica" w:hAnsi="Century Gothic" w:cs="Helvetica"/>
          <w:sz w:val="22"/>
          <w:szCs w:val="22"/>
        </w:rPr>
        <w:t>ón Segunda se dividirá en dos (2) subsecciones, cada una de las cuales estará integrada por tres (3) magistrados.</w:t>
      </w:r>
    </w:p>
    <w:p w14:paraId="00770D75" w14:textId="77777777" w:rsidR="00CB1679" w:rsidRPr="00CD7B09" w:rsidRDefault="00CB1679" w:rsidP="00CB1679">
      <w:pPr>
        <w:widowControl w:val="0"/>
        <w:numPr>
          <w:ilvl w:val="0"/>
          <w:numId w:val="7"/>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Secci</w:t>
      </w:r>
      <w:r w:rsidRPr="00CD7B09">
        <w:rPr>
          <w:rFonts w:ascii="Century Gothic" w:eastAsia="Helvetica" w:hAnsi="Century Gothic" w:cs="Helvetica"/>
          <w:sz w:val="22"/>
          <w:szCs w:val="22"/>
        </w:rPr>
        <w:t>ó</w:t>
      </w:r>
      <w:r w:rsidRPr="00CD7B09">
        <w:rPr>
          <w:rFonts w:ascii="Century Gothic" w:eastAsia="Garamond" w:hAnsi="Century Gothic" w:cs="Garamond"/>
          <w:sz w:val="22"/>
          <w:szCs w:val="22"/>
        </w:rPr>
        <w:t>n Tercera se dividir</w:t>
      </w:r>
      <w:r w:rsidRPr="00CD7B09">
        <w:rPr>
          <w:rFonts w:ascii="Century Gothic" w:eastAsia="Helvetica" w:hAnsi="Century Gothic" w:cs="Helvetica"/>
          <w:sz w:val="22"/>
          <w:szCs w:val="22"/>
        </w:rPr>
        <w:t>á en tres (3) subsecciones, cada una de las cuales estará integrada por tres (3) magistrados.</w:t>
      </w:r>
    </w:p>
    <w:p w14:paraId="724BE95D" w14:textId="77777777" w:rsidR="00CB1679" w:rsidRPr="00CD7B09" w:rsidRDefault="00CB1679" w:rsidP="00CB1679">
      <w:pPr>
        <w:widowControl w:val="0"/>
        <w:numPr>
          <w:ilvl w:val="0"/>
          <w:numId w:val="7"/>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Secci</w:t>
      </w:r>
      <w:r w:rsidRPr="00CD7B09">
        <w:rPr>
          <w:rFonts w:ascii="Century Gothic" w:eastAsia="Helvetica" w:hAnsi="Century Gothic" w:cs="Helvetica"/>
          <w:sz w:val="22"/>
          <w:szCs w:val="22"/>
        </w:rPr>
        <w:t>ón Cuarta, por cuatro (4) Magistrados, y La Sección Quinta, por cuatro (4) Magistrados.</w:t>
      </w:r>
    </w:p>
    <w:p w14:paraId="654486E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10F8238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Sin perjuicio de las espec</w:t>
      </w:r>
      <w:r w:rsidRPr="00CD7B09">
        <w:rPr>
          <w:rFonts w:ascii="Century Gothic" w:eastAsia="Helvetica" w:hAnsi="Century Gothic" w:cs="Helvetica"/>
          <w:sz w:val="22"/>
          <w:szCs w:val="22"/>
        </w:rPr>
        <w:t>íficas competencias</w:t>
      </w:r>
      <w:r w:rsidRPr="00CD7B09">
        <w:rPr>
          <w:rFonts w:ascii="Century Gothic" w:eastAsia="Garamond" w:hAnsi="Century Gothic" w:cs="Garamond"/>
          <w:sz w:val="22"/>
          <w:szCs w:val="22"/>
        </w:rPr>
        <w:t xml:space="preserve"> que atribuya la ley, el Reglamento de la Corporaci</w:t>
      </w:r>
      <w:r w:rsidRPr="00CD7B09">
        <w:rPr>
          <w:rFonts w:ascii="Century Gothic" w:eastAsia="Helvetica" w:hAnsi="Century Gothic" w:cs="Helvetica"/>
          <w:sz w:val="22"/>
          <w:szCs w:val="22"/>
        </w:rPr>
        <w:t>ón determinará y asignará los asuntos y las materias cuyo conocimiento corresponda a cada sección y a las respectivas subsecciones.</w:t>
      </w:r>
    </w:p>
    <w:p w14:paraId="1A77190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6608037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Par</w:t>
      </w:r>
      <w:r w:rsidRPr="00CD7B09">
        <w:rPr>
          <w:rFonts w:ascii="Century Gothic" w:eastAsia="Helvetica" w:hAnsi="Century Gothic" w:cs="Helvetica"/>
          <w:b/>
          <w:sz w:val="22"/>
          <w:szCs w:val="22"/>
        </w:rPr>
        <w:t xml:space="preserve">ágrafo. </w:t>
      </w:r>
      <w:r w:rsidRPr="00CD7B09">
        <w:rPr>
          <w:rFonts w:ascii="Century Gothic" w:eastAsia="Garamond" w:hAnsi="Century Gothic" w:cs="Garamond"/>
          <w:sz w:val="22"/>
          <w:szCs w:val="22"/>
        </w:rPr>
        <w:t>Es atribuci</w:t>
      </w:r>
      <w:r w:rsidRPr="00CD7B09">
        <w:rPr>
          <w:rFonts w:ascii="Century Gothic" w:eastAsia="Helvetica" w:hAnsi="Century Gothic" w:cs="Helvetica"/>
          <w:sz w:val="22"/>
          <w:szCs w:val="22"/>
        </w:rPr>
        <w:t xml:space="preserve">ón del presidente del Consejo de Estado, resolver </w:t>
      </w:r>
      <w:r w:rsidRPr="00CD7B09">
        <w:rPr>
          <w:rFonts w:ascii="Century Gothic" w:eastAsia="Garamond" w:hAnsi="Century Gothic" w:cs="Garamond"/>
          <w:sz w:val="22"/>
          <w:szCs w:val="22"/>
        </w:rPr>
        <w:t>los conflictos de competencia entre las secciones de la Sala de lo Contencioso de la Corporaci</w:t>
      </w:r>
      <w:r w:rsidRPr="00CD7B09">
        <w:rPr>
          <w:rFonts w:ascii="Century Gothic" w:eastAsia="Helvetica" w:hAnsi="Century Gothic" w:cs="Helvetica"/>
          <w:sz w:val="22"/>
          <w:szCs w:val="22"/>
        </w:rPr>
        <w:t>ón.</w:t>
      </w:r>
    </w:p>
    <w:p w14:paraId="5C7A224E"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5482F30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24</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Adici</w:t>
      </w:r>
      <w:r w:rsidRPr="00CD7B09">
        <w:rPr>
          <w:rFonts w:ascii="Century Gothic" w:eastAsia="Helvetica" w:hAnsi="Century Gothic" w:cs="Helvetica"/>
          <w:sz w:val="22"/>
          <w:szCs w:val="22"/>
        </w:rPr>
        <w:t>ónese un inciso al artículo 122 de la Ley 1437 de 2011, así:</w:t>
      </w:r>
    </w:p>
    <w:p w14:paraId="3EB18A6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3C17D38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Cada Tribunal Administrativo contar</w:t>
      </w:r>
      <w:r w:rsidRPr="00CD7B09">
        <w:rPr>
          <w:rFonts w:ascii="Century Gothic" w:eastAsia="Helvetica" w:hAnsi="Century Gothic" w:cs="Helvetica"/>
          <w:sz w:val="22"/>
          <w:szCs w:val="22"/>
        </w:rPr>
        <w:t xml:space="preserve">á con una Sala agraria y rural que </w:t>
      </w:r>
      <w:r w:rsidRPr="00CD7B09">
        <w:rPr>
          <w:rFonts w:ascii="Century Gothic" w:eastAsia="Garamond" w:hAnsi="Century Gothic" w:cs="Garamond"/>
          <w:sz w:val="22"/>
          <w:szCs w:val="22"/>
        </w:rPr>
        <w:t>conocer</w:t>
      </w:r>
      <w:r w:rsidRPr="00CD7B09">
        <w:rPr>
          <w:rFonts w:ascii="Century Gothic" w:eastAsia="Helvetica" w:hAnsi="Century Gothic" w:cs="Helvetica"/>
          <w:sz w:val="22"/>
          <w:szCs w:val="22"/>
        </w:rPr>
        <w:t>á de asuntos de naturaleza agraria y rural, siempre que intervenga como parte una entidad pública o que el bien inmueble rural sea de naturaleza pública, de conformidad con el régimen establecido para el efecto.</w:t>
      </w:r>
    </w:p>
    <w:p w14:paraId="791BE0A0"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3D85457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25</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Modif</w:t>
      </w:r>
      <w:r w:rsidRPr="00CD7B09">
        <w:rPr>
          <w:rFonts w:ascii="Century Gothic" w:eastAsia="Helvetica" w:hAnsi="Century Gothic" w:cs="Helvetica"/>
          <w:sz w:val="22"/>
          <w:szCs w:val="22"/>
        </w:rPr>
        <w:t>íquese el artículo</w:t>
      </w:r>
      <w:r w:rsidRPr="00CD7B09">
        <w:rPr>
          <w:rFonts w:ascii="Century Gothic" w:eastAsia="Garamond" w:hAnsi="Century Gothic" w:cs="Garamond"/>
          <w:sz w:val="22"/>
          <w:szCs w:val="22"/>
        </w:rPr>
        <w:t xml:space="preserve"> 124 de la Ley 1437 de 2011, el cual quedar</w:t>
      </w:r>
      <w:r w:rsidRPr="00CD7B09">
        <w:rPr>
          <w:rFonts w:ascii="Century Gothic" w:eastAsia="Helvetica" w:hAnsi="Century Gothic" w:cs="Helvetica"/>
          <w:sz w:val="22"/>
          <w:szCs w:val="22"/>
        </w:rPr>
        <w:t>á así:</w:t>
      </w:r>
    </w:p>
    <w:p w14:paraId="3CC7FE3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5F705F1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124. Régimen</w:t>
      </w:r>
      <w:r w:rsidRPr="00CD7B09">
        <w:rPr>
          <w:rFonts w:ascii="Century Gothic" w:eastAsia="Garamond" w:hAnsi="Century Gothic" w:cs="Garamond"/>
          <w:sz w:val="22"/>
          <w:szCs w:val="22"/>
        </w:rPr>
        <w:t>. Los juzgados administrativos y los juzgados agrarios y rurales administrativos que, de conformidad con las necesidades de la administraci</w:t>
      </w:r>
      <w:r w:rsidRPr="00CD7B09">
        <w:rPr>
          <w:rFonts w:ascii="Century Gothic" w:eastAsia="Helvetica" w:hAnsi="Century Gothic" w:cs="Helvetica"/>
          <w:sz w:val="22"/>
          <w:szCs w:val="22"/>
        </w:rPr>
        <w:t>ón de justicia, establezca el Consejo Superior de la Judicatura para el cumplimiento de las funciones que prevea la l</w:t>
      </w:r>
      <w:r w:rsidRPr="00CD7B09">
        <w:rPr>
          <w:rFonts w:ascii="Century Gothic" w:eastAsia="Garamond" w:hAnsi="Century Gothic" w:cs="Garamond"/>
          <w:sz w:val="22"/>
          <w:szCs w:val="22"/>
        </w:rPr>
        <w:t>ey procesal en cada circuito o municipio, integran la Jurisdicci</w:t>
      </w:r>
      <w:r w:rsidRPr="00CD7B09">
        <w:rPr>
          <w:rFonts w:ascii="Century Gothic" w:eastAsia="Helvetica" w:hAnsi="Century Gothic" w:cs="Helvetica"/>
          <w:sz w:val="22"/>
          <w:szCs w:val="22"/>
        </w:rPr>
        <w:t>ón de lo Contencioso Administrativo. Sus características, denominación y número serán fijados por esa misma Corporación, de conformidad con lo dispuesto en la Ley Estatutaria de la Administrac</w:t>
      </w:r>
      <w:r w:rsidRPr="00CD7B09">
        <w:rPr>
          <w:rFonts w:ascii="Century Gothic" w:eastAsia="Garamond" w:hAnsi="Century Gothic" w:cs="Garamond"/>
          <w:sz w:val="22"/>
          <w:szCs w:val="22"/>
        </w:rPr>
        <w:t>i</w:t>
      </w:r>
      <w:r w:rsidRPr="00CD7B09">
        <w:rPr>
          <w:rFonts w:ascii="Century Gothic" w:eastAsia="Helvetica" w:hAnsi="Century Gothic" w:cs="Helvetica"/>
          <w:sz w:val="22"/>
          <w:szCs w:val="22"/>
        </w:rPr>
        <w:t xml:space="preserve">ón de Justicia. </w:t>
      </w:r>
    </w:p>
    <w:p w14:paraId="74FCF0C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Los juzgados agrarios y rurales podr</w:t>
      </w:r>
      <w:r w:rsidRPr="00CD7B09">
        <w:rPr>
          <w:rFonts w:ascii="Century Gothic" w:eastAsia="Helvetica" w:hAnsi="Century Gothic" w:cs="Helvetica"/>
          <w:sz w:val="22"/>
          <w:szCs w:val="22"/>
        </w:rPr>
        <w:t>án compartir infraestructura física con entidades de la rama ejecutiva por medio de convenio interadministrativo.</w:t>
      </w:r>
    </w:p>
    <w:p w14:paraId="26AD48E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T</w:t>
      </w:r>
      <w:r w:rsidRPr="00CD7B09">
        <w:rPr>
          <w:rFonts w:ascii="Century Gothic" w:eastAsia="Helvetica" w:hAnsi="Century Gothic" w:cs="Helvetica"/>
          <w:b/>
          <w:sz w:val="22"/>
          <w:szCs w:val="22"/>
        </w:rPr>
        <w:t>ÍTULO II</w:t>
      </w:r>
    </w:p>
    <w:p w14:paraId="60D2744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b/>
          <w:sz w:val="22"/>
          <w:szCs w:val="22"/>
        </w:rPr>
      </w:pPr>
    </w:p>
    <w:p w14:paraId="04C4722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 xml:space="preserve">PROCEDIMIENTO AGRARIO Y RURAL </w:t>
      </w:r>
    </w:p>
    <w:p w14:paraId="7F5C4D9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131A34C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CAP</w:t>
      </w:r>
      <w:r w:rsidRPr="00CD7B09">
        <w:rPr>
          <w:rFonts w:ascii="Century Gothic" w:eastAsia="Helvetica" w:hAnsi="Century Gothic" w:cs="Helvetica"/>
          <w:b/>
          <w:sz w:val="22"/>
          <w:szCs w:val="22"/>
        </w:rPr>
        <w:t>ÍTULO I</w:t>
      </w:r>
    </w:p>
    <w:p w14:paraId="6F67D81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Asuntos de conocimiento de la especialidad agraria y rural y distribuci</w:t>
      </w:r>
      <w:r w:rsidRPr="00CD7B09">
        <w:rPr>
          <w:rFonts w:ascii="Century Gothic" w:eastAsia="Helvetica" w:hAnsi="Century Gothic" w:cs="Helvetica"/>
          <w:b/>
          <w:sz w:val="22"/>
          <w:szCs w:val="22"/>
        </w:rPr>
        <w:t>ón de competencias</w:t>
      </w:r>
    </w:p>
    <w:p w14:paraId="7DD8BDD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7EF8E8C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26</w:t>
      </w:r>
      <w:r w:rsidRPr="00CD7B09">
        <w:rPr>
          <w:rFonts w:ascii="Century Gothic" w:eastAsia="Garamond" w:hAnsi="Century Gothic" w:cs="Garamond"/>
          <w:b/>
          <w:sz w:val="22"/>
          <w:szCs w:val="22"/>
        </w:rPr>
        <w:t xml:space="preserve">. Naturaleza del proceso. </w:t>
      </w:r>
      <w:r w:rsidRPr="00CD7B09">
        <w:rPr>
          <w:rFonts w:ascii="Century Gothic" w:eastAsia="Garamond" w:hAnsi="Century Gothic" w:cs="Garamond"/>
          <w:sz w:val="22"/>
          <w:szCs w:val="22"/>
        </w:rPr>
        <w:t>El proceso agrario y rural es un proceso declarativo que se regir</w:t>
      </w:r>
      <w:r w:rsidRPr="00CD7B09">
        <w:rPr>
          <w:rFonts w:ascii="Century Gothic" w:eastAsia="Helvetica" w:hAnsi="Century Gothic" w:cs="Helvetica"/>
          <w:sz w:val="22"/>
          <w:szCs w:val="22"/>
        </w:rPr>
        <w:t xml:space="preserve">á por las reglas especiales previstas en esta ley y en las normas agrarias de carácter especial. </w:t>
      </w:r>
    </w:p>
    <w:p w14:paraId="2E061EB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3BD5FE6B" w14:textId="06C56AC2"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w:t>
      </w:r>
      <w:r w:rsidRPr="00CD7B09">
        <w:rPr>
          <w:rFonts w:ascii="Century Gothic" w:eastAsia="Helvetica" w:hAnsi="Century Gothic" w:cs="Helvetica"/>
          <w:sz w:val="22"/>
          <w:szCs w:val="22"/>
        </w:rPr>
        <w:t xml:space="preserve">ágrafo. Lo previsto en este título se aplicará sin perjuicio del procedimiento dispuesto </w:t>
      </w:r>
      <w:r w:rsidRPr="00CD7B09">
        <w:rPr>
          <w:rFonts w:ascii="Century Gothic" w:eastAsia="Garamond" w:hAnsi="Century Gothic" w:cs="Garamond"/>
          <w:sz w:val="22"/>
          <w:szCs w:val="22"/>
        </w:rPr>
        <w:t>en la Ley 1564 de 2012 y tendr</w:t>
      </w:r>
      <w:r w:rsidRPr="00CD7B09">
        <w:rPr>
          <w:rFonts w:ascii="Century Gothic" w:eastAsia="Helvetica" w:hAnsi="Century Gothic" w:cs="Helvetica"/>
          <w:sz w:val="22"/>
          <w:szCs w:val="22"/>
        </w:rPr>
        <w:t>á en cuenta lo que establece el Decreto Ley 902 de 2017.</w:t>
      </w:r>
    </w:p>
    <w:p w14:paraId="1B8E2CD5"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385AB8A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w:t>
      </w:r>
      <w:r w:rsidRPr="00CD7B09">
        <w:rPr>
          <w:rFonts w:ascii="Century Gothic" w:eastAsia="Helvetica" w:hAnsi="Century Gothic" w:cs="Helvetica"/>
          <w:b/>
          <w:sz w:val="22"/>
          <w:szCs w:val="22"/>
        </w:rPr>
        <w:t>ículo 27</w:t>
      </w:r>
      <w:r w:rsidRPr="00CD7B09">
        <w:rPr>
          <w:rFonts w:ascii="Century Gothic" w:eastAsia="Garamond" w:hAnsi="Century Gothic" w:cs="Garamond"/>
          <w:b/>
          <w:sz w:val="22"/>
          <w:szCs w:val="22"/>
        </w:rPr>
        <w:t>. De los asuntos que se tramitan a trav</w:t>
      </w:r>
      <w:r w:rsidRPr="00CD7B09">
        <w:rPr>
          <w:rFonts w:ascii="Century Gothic" w:eastAsia="Helvetica" w:hAnsi="Century Gothic" w:cs="Helvetica"/>
          <w:b/>
          <w:sz w:val="22"/>
          <w:szCs w:val="22"/>
        </w:rPr>
        <w:t xml:space="preserve">és del proceso agrario y rural. </w:t>
      </w:r>
      <w:r w:rsidRPr="00CD7B09">
        <w:rPr>
          <w:rFonts w:ascii="Century Gothic" w:eastAsia="Garamond" w:hAnsi="Century Gothic" w:cs="Garamond"/>
          <w:sz w:val="22"/>
          <w:szCs w:val="22"/>
        </w:rPr>
        <w:t>Se tramitar</w:t>
      </w:r>
      <w:r w:rsidRPr="00CD7B09">
        <w:rPr>
          <w:rFonts w:ascii="Century Gothic" w:eastAsia="Helvetica" w:hAnsi="Century Gothic" w:cs="Helvetica"/>
          <w:sz w:val="22"/>
          <w:szCs w:val="22"/>
        </w:rPr>
        <w:t xml:space="preserve">án a través del proceso agrario y rural dispuesto en esta ley los litigios </w:t>
      </w:r>
      <w:r w:rsidRPr="00CD7B09">
        <w:rPr>
          <w:rFonts w:ascii="Century Gothic" w:eastAsia="Garamond" w:hAnsi="Century Gothic" w:cs="Garamond"/>
          <w:sz w:val="22"/>
          <w:szCs w:val="22"/>
        </w:rPr>
        <w:t>y controversias respecto de los derechos de propiedad, uso y tenencia de bienes inmuebles ubicados en suelo clasificado como rural, as</w:t>
      </w:r>
      <w:r w:rsidRPr="00CD7B09">
        <w:rPr>
          <w:rFonts w:ascii="Century Gothic" w:eastAsia="Helvetica" w:hAnsi="Century Gothic" w:cs="Helvetica"/>
          <w:sz w:val="22"/>
          <w:szCs w:val="22"/>
        </w:rPr>
        <w:t>í como los derivados de las relaciones económicas de índole agraria, en particular los siguientes asuntos:</w:t>
      </w:r>
    </w:p>
    <w:p w14:paraId="0B6BA1C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3B29724F"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acciones contra los actos administrativos proferidos por la Agencia Nacional de Tierras, respecto de los asuntos señalados en el artículo 58 del Decreto Ley 902 de 2017 o en el trámite de la Ley 160 de 1994.</w:t>
      </w:r>
    </w:p>
    <w:p w14:paraId="40130A94"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El medio de control de nulidad para la resolución de controversias respecto de los actos de adjudicación en los términos del artículo 38 del Decreto Ley 902 de 2017.</w:t>
      </w:r>
    </w:p>
    <w:p w14:paraId="3589AD5A"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demandas presentadas por la Agencia Nacional de Tierras en desarrollo del procedimiento único de ordenamiento social de la propiedad rural de conformidad con lo establecido en el Decreto Ley 902 de 2017.</w:t>
      </w:r>
    </w:p>
    <w:p w14:paraId="7DCC2A83"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operaciones administrativas derivadas de la ejecución de actos administrativos proferidos en el procedimiento único de ordenamiento social de la propiedad rural o en el trámite de la Ley 160 de 1994.</w:t>
      </w:r>
    </w:p>
    <w:p w14:paraId="1C87D51C"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expropiación de la que trata la Ley 388 de 1997, cuando verse sobre predios rurales y agrarios.</w:t>
      </w:r>
    </w:p>
    <w:p w14:paraId="22074DD8"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demandas de pertenencia sobre inmuebles rurales.</w:t>
      </w:r>
    </w:p>
    <w:p w14:paraId="0D421391"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demandas de posesorios sobre inmuebles rurales.</w:t>
      </w:r>
    </w:p>
    <w:p w14:paraId="3AF548B7"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demandas de saneamiento de la propiedad agraria.</w:t>
      </w:r>
    </w:p>
    <w:p w14:paraId="6EF3604E"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demandadas de formalización de la pequeña propiedad rural.</w:t>
      </w:r>
    </w:p>
    <w:p w14:paraId="09C289A6"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demandas de servidumbre que versen sobre inmuebles rurales.</w:t>
      </w:r>
    </w:p>
    <w:p w14:paraId="07275BC8"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demandas de división de la propiedad común de inmuebles rurales.</w:t>
      </w:r>
    </w:p>
    <w:p w14:paraId="0BF8BD29"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demandas de deslinde y amojonamiento de inmuebles rurales.</w:t>
      </w:r>
    </w:p>
    <w:p w14:paraId="607D7588"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demandas reivindicatorias de inmuebles rurales.</w:t>
      </w:r>
    </w:p>
    <w:p w14:paraId="4812BF9E"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Restablecimiento de la posesión o de la tenencia de inmuebles rurales.</w:t>
      </w:r>
    </w:p>
    <w:p w14:paraId="124DE8BE"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Lanzamiento por ocupación de hecho si el bien ocupado es de naturaleza rural.</w:t>
      </w:r>
    </w:p>
    <w:p w14:paraId="51E67A6B"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Controversias derivadas de contratos de índole agraria, como los de arrendamiento, aparcería, compraventa de tierras, enajenación de productos agropecuarios o similares, así como de actividades agrarias de transformación, producción o enajenación, en cuanto estos tres últimos no constituyan actos mercantiles ni tengan origen en relaciones de trabajo.</w:t>
      </w:r>
    </w:p>
    <w:p w14:paraId="11F339F5"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demandas que versen sobre rectificación de áreas y linderos de inmuebles rurales cuando deban surtirse ante la jurisdicción.</w:t>
      </w:r>
    </w:p>
    <w:p w14:paraId="3B0332BD"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demandas sobre tradición imperfecta, ausencia o inexistencia de registro o folio de matrícula inmobiliaria y vicios en el registro de inmuebles rurales.</w:t>
      </w:r>
    </w:p>
    <w:p w14:paraId="04BE421F"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Acciones de grupo y reparación directa, siempre que la controversia sea de carácter agrario y rural.</w:t>
      </w:r>
    </w:p>
    <w:p w14:paraId="11FB615A"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Controversias sobre la administración de la copropiedad, reconocimiento y divisiones materiales de fundos rurales.</w:t>
      </w:r>
    </w:p>
    <w:p w14:paraId="73D2751C"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Diferendos relacionados con el ambiente previstos en el Decreto Ley 2811 de 1974, Código Nacional de Recursos Naturales Renovables, exclusivamente si se generan en el marco de procesos agrarios. y siempre que la pretensión ambiental impacte de manera directa la agraria y su definición sea necesaria para resolver el diferendo en materia agraria y rural.</w:t>
      </w:r>
    </w:p>
    <w:p w14:paraId="6BE3B4F2"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Nulidad de los actos administrativos emanados de la Agencia Nacional de Tierras o quien haga sus veces, siempre que dichos actos administrativos creen, modifiquen o extingan situaciones jurídicas asociadas a fundos rurales.</w:t>
      </w:r>
    </w:p>
    <w:p w14:paraId="19A198D5"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Procesos de extinción del derecho de dominio que aborden diferendos asociados al cumplimiento de las normas sobre conservación, mejoramiento y utilización racional de los recursos naturales renovables y de las normas de preservación y restauración del ambiente, una vez agotada la fase administrativa.</w:t>
      </w:r>
    </w:p>
    <w:p w14:paraId="6770F307"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Procesos de extinción del derecho de dominio donde se discuta lo establecido en el inciso tercero del artículo 58 de la Ley 160 de 1994 en cuanto a que no constituye explotación económica la simple tala de árboles, con excepción de las explotaciones forestales adelantadas de conformidad con lo dispuesto en la normativa ambiental y agropecuaria.</w:t>
      </w:r>
    </w:p>
    <w:p w14:paraId="7328309A" w14:textId="4C6CCBFE"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Procesos de extinción del derecho de dominio que se adelanten por violación de las normas sobre conservación, mejoramiento y utilización racional de los recursos naturales renovables y las relacionadas con la preservación y restauración del ambiente contenidas en el Código Nacional de Recursos Naturales Renovables y de Protección al Medio Ambiente, la Ley 1333 de 2009 y demás disposiciones pertinentes, una vez agotada la fase administrativa.</w:t>
      </w:r>
    </w:p>
    <w:p w14:paraId="67DD74B6"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Litigios relacionados con la adjudicación de bienes baldíos de la Nación por falta de correspondencia de la explotación acreditada con la aptitud específica del predio adjudicado, por la inexistencia o incumplimiento en la adopción o ejecución del plan gradual de reconversión,</w:t>
      </w:r>
      <w:r w:rsidRPr="00CD7B09">
        <w:rPr>
          <w:rFonts w:ascii="Century Gothic" w:eastAsia="Garamond" w:hAnsi="Century Gothic" w:cs="Garamond"/>
          <w:strike/>
          <w:sz w:val="22"/>
          <w:szCs w:val="22"/>
        </w:rPr>
        <w:t xml:space="preserve"> o</w:t>
      </w:r>
      <w:r w:rsidRPr="00CD7B09">
        <w:rPr>
          <w:rFonts w:ascii="Century Gothic" w:eastAsia="Garamond" w:hAnsi="Century Gothic" w:cs="Garamond"/>
          <w:sz w:val="22"/>
          <w:szCs w:val="22"/>
        </w:rPr>
        <w:t xml:space="preserve"> por la omisión de obtener concepto previo favorable de la autoridad correspondiente del Sistema Nacional Ambiental, o por incumplimiento de la normatividad ambiental o de la función ecológica de la propiedad.</w:t>
      </w:r>
    </w:p>
    <w:p w14:paraId="35D35232"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Diferencias relacionadas con la aplicación del artículo 69 de la Ley 160 de 1994 o norma que le sustituya en referencia al deber del solicitante de la adjudicación de baldíos de cumplir con los requisitos relacionados con la aptitud del predio, no acumulación o transferencia de ocupaciones, conservación de zonas ambientales protegidas, las relacionadas con la regulación de usos de baldíos inadjudicables como islas, playones y madreviejas desecadas de los ríos, lagos y ciénagas de propiedad nacional, y las zonas especiales en las cuales no se adelantarán programas de adquisición de tierras, y los demás requisitos de ley.</w:t>
      </w:r>
    </w:p>
    <w:p w14:paraId="0705071C"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Controversias relacionadas con la aplicación del artículo 75 de la Ley 160 de 1994 relativo a la constitución o sustracción de reservas sobre los terrenos baldíos en favor de entidades de derecho público para la ejecución de proyectos de alto interés nacional o a favor de entidades privadas sin ánimo de lucro, cuando el objeto de la zona de reserva especial consista en proteger o colaborar en la protección del medio ambiente y de los recursos naturales renovables o se relacione con fines ambientales establecidos por el legislador. </w:t>
      </w:r>
    </w:p>
    <w:p w14:paraId="66EE6076"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Diferendos que se susciten en las Zonas de Reserva Campesina relacionados con el uso de la tierra por violación de las normas sobre conservación, mejoramiento y utilización racional de los recursos naturales renovables y las relacionadas con la preservación y restauración del ambiente contenidas en el Código Nacional de Recursos Naturales Renovables y de Protección al Medio Ambiente y demás disposiciones pertinentes.</w:t>
      </w:r>
    </w:p>
    <w:p w14:paraId="61F77DE9"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Controversias asociadas con el otorgamiento de derechos o con contratos de usufructo, uso o superficie expedidos o celebrados por la Agencia Nacional de Tierras sobre zonas de reserva forestal declaradas por la Ley 2 de 1959 o sobre las áreas del Sistema Nacional de Áreas Protegidas.</w:t>
      </w:r>
    </w:p>
    <w:p w14:paraId="6EA634D3"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Diferendos por el uso, ocupación o tenencia de tierras en páramos o áreas del Sistema Nacional de Áreas Protegidas o por la ejecución de los programas especiales de dotación de tierras establecidos en el Decreto 1277 de 2013 a favor de </w:t>
      </w:r>
      <w:r w:rsidRPr="00CD7B09">
        <w:rPr>
          <w:rFonts w:ascii="Century Gothic" w:eastAsia="Garamond" w:hAnsi="Century Gothic" w:cs="Garamond"/>
          <w:sz w:val="22"/>
          <w:szCs w:val="22"/>
          <w:highlight w:val="white"/>
        </w:rPr>
        <w:t>propietarios u ocupantes de zonas que deban someterse a un manejo especial o que sean de interés ecológico y que deban ser reubicados.</w:t>
      </w:r>
    </w:p>
    <w:p w14:paraId="7945730B"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Resolver la nulidad de los actos privados de transferencia de dominio o uso de predios inicialmente adjudicados como baldíos que excedan los límites máximos permitidos por la unidad agrícola familiar, en virtud de la prohibición establecida en el artículo 72 inciso 9 de la Ley 160 de 1994, y en consonancia con el inciso 14 del mismo artículo.</w:t>
      </w:r>
    </w:p>
    <w:p w14:paraId="785B5884" w14:textId="77777777" w:rsidR="00CB1679" w:rsidRPr="00CD7B09" w:rsidRDefault="00CB1679" w:rsidP="00CB1679">
      <w:pPr>
        <w:widowControl w:val="0"/>
        <w:numPr>
          <w:ilvl w:val="0"/>
          <w:numId w:val="1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fase judicial de los asuntos del procedimiento único previstos en el numeral 2 del artículo 60 del Decreto Ley 902 de 2017, para las zonas focalizadas. Para zonas no focalizadas se atenderá a lo previsto en el artículo 61 del mencionado Decreto Ley.</w:t>
      </w:r>
    </w:p>
    <w:p w14:paraId="635FB2F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6961A70A"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Parágrafo. </w:t>
      </w:r>
      <w:r w:rsidRPr="00CD7B09">
        <w:rPr>
          <w:rFonts w:ascii="Century Gothic" w:eastAsia="Garamond" w:hAnsi="Century Gothic" w:cs="Garamond"/>
          <w:sz w:val="22"/>
          <w:szCs w:val="22"/>
        </w:rPr>
        <w:t>La Especialidad Agraria y Rural de la Jurisdicción Contenciosa Administrativa conocerá de los asuntos descritos en el presente artículo en tanto correspondan a controversias y litigios originados en actos, contratos, hechos, omisiones y operaciones, en los que estén involucradas las entidades públicas, bienes públicos o los particulares cuando ejerzan función administrativa. De la misma forma, conocerá de todos los asuntos que promueva la Agencia Nacional de Tierras, en desarrollo del procedimiento de ordenamiento social de la propiedad rural. En los demás casos conocerá la Especialidad Agraria y Rural de la Jurisdicción Ordinaria.</w:t>
      </w:r>
    </w:p>
    <w:p w14:paraId="62520764"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7FF28295" w14:textId="77777777" w:rsidR="00CB1679" w:rsidRPr="00CD7B09" w:rsidRDefault="00CB1679" w:rsidP="00CB1679">
      <w:pPr>
        <w:pBdr>
          <w:top w:val="none" w:sz="0" w:space="0" w:color="000000"/>
          <w:left w:val="none" w:sz="0" w:space="0" w:color="000000"/>
          <w:bottom w:val="none" w:sz="0" w:space="0" w:color="000000"/>
          <w:right w:val="none" w:sz="0" w:space="0" w:color="000000"/>
          <w:between w:val="none" w:sz="0" w:space="0" w:color="000000"/>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Se excluyen del proceso agrario y rural dispuesto en esta ley la restitución jurídica y material de las tierras despojadas o abandonadas forzadamente de que tratan los artículos 3 y 75 de la Ley 1448 de 2011 “Por la cual se dictan medidas de atención, asistencia y reparación integral a las víctimas del conflicto armado interno y se dictan otras disposiciones”.</w:t>
      </w:r>
    </w:p>
    <w:p w14:paraId="1588869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p>
    <w:p w14:paraId="31A111D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28. Acción agraria. </w:t>
      </w:r>
      <w:r w:rsidRPr="00CD7B09">
        <w:rPr>
          <w:rFonts w:ascii="Century Gothic" w:eastAsia="Garamond" w:hAnsi="Century Gothic" w:cs="Garamond"/>
          <w:sz w:val="22"/>
          <w:szCs w:val="22"/>
        </w:rPr>
        <w:t>A través de la acción agraria, que constituye la regla general de inicio del proceso agrario y rural, toda persona puede solicitar al juez la solución de un conflicto respecto de los asuntos previstos en el artículo 30, en el marco del objeto y del procedimiento contemplados en la presente ley.</w:t>
      </w:r>
    </w:p>
    <w:p w14:paraId="0B3773E1"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6965266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29. </w:t>
      </w:r>
      <w:r w:rsidRPr="00CD7B09">
        <w:rPr>
          <w:rFonts w:ascii="Century Gothic" w:eastAsia="Garamond" w:hAnsi="Century Gothic" w:cs="Garamond"/>
          <w:sz w:val="22"/>
          <w:szCs w:val="22"/>
        </w:rPr>
        <w:t>Adiciónese el artículo 138A a la Ley 1437 de 2011, el cual quedará así:</w:t>
      </w:r>
    </w:p>
    <w:p w14:paraId="687E0E1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46EF3A55"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138A. Nulidad agraria y restablecimiento del derecho. </w:t>
      </w:r>
      <w:r w:rsidRPr="00CD7B09">
        <w:rPr>
          <w:rFonts w:ascii="Century Gothic" w:eastAsia="Garamond" w:hAnsi="Century Gothic" w:cs="Garamond"/>
          <w:sz w:val="22"/>
          <w:szCs w:val="22"/>
        </w:rPr>
        <w:t>Los particulares que fueron parte del Procedimiento Único del que trata el Decreto Ley 902 de 2017 podrán demandar la nulidad de los actos administrativos definitivos expedidos con ocasión de este, dentro de los cuatro (4) meses siguientes a su ejecutoria.</w:t>
      </w:r>
    </w:p>
    <w:p w14:paraId="629DAEA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5641824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misma acción ejercerán los particulares que aduzcan tener derechos reales sobre los predios relacionados con la formalización de predios privados, clarificación de la propiedad, deslinde, adjudicación, revocatoria directa y recuperación de baldíos, extinción del dominio sobre tierras incultas y expropiación de predios rurales, de que trata la Ley 160 de 1994, y siempre que no hubieren comparecido al procedimiento único, caso en el cual el término para interponer la acción será de tres (3) años contados a partir de la fecha de inscripción del acto administrativo en el folio de matrícula inmobiliaria.</w:t>
      </w:r>
    </w:p>
    <w:p w14:paraId="2A308AB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2346073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El medio de control podrá ejercerse directamente, sin necesidad de haber interpuesto los recursos pertinentes contra el acto administrativo.</w:t>
      </w:r>
    </w:p>
    <w:p w14:paraId="508F8B11"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2DD6ECF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En cuanto al término de la caducidad de los demás medios de control que se tramiten a través del proceso agrario y rural se atenderá lo dispuesto en el artículo 164 del presente Código. </w:t>
      </w:r>
    </w:p>
    <w:p w14:paraId="294D4E6B"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15C6296D"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Artículo 30.</w:t>
      </w:r>
      <w:r w:rsidRPr="00CD7B09">
        <w:rPr>
          <w:rFonts w:ascii="Century Gothic" w:eastAsia="Garamond" w:hAnsi="Century Gothic" w:cs="Garamond"/>
          <w:sz w:val="22"/>
          <w:szCs w:val="22"/>
        </w:rPr>
        <w:t xml:space="preserve"> </w:t>
      </w:r>
      <w:r w:rsidRPr="00CD7B09">
        <w:rPr>
          <w:rFonts w:ascii="Century Gothic" w:eastAsia="Garamond" w:hAnsi="Century Gothic" w:cs="Garamond"/>
          <w:b/>
          <w:sz w:val="22"/>
          <w:szCs w:val="22"/>
        </w:rPr>
        <w:t>Acción de resolución de controversias suscitadas por varios actos de adjudicación</w:t>
      </w:r>
      <w:r w:rsidRPr="00CD7B09">
        <w:rPr>
          <w:rFonts w:ascii="Century Gothic" w:eastAsia="Garamond" w:hAnsi="Century Gothic" w:cs="Garamond"/>
          <w:sz w:val="22"/>
          <w:szCs w:val="22"/>
        </w:rPr>
        <w:t>. Cuando sobre un mismo predio existan varias adjudicaciones realizadas por parte de las Gobernaciones, Ministerio de Agricultura, INCORA, INCODER o la Agencia Nacional de Tierras, esta última podrá de oficio o a solicitud de parte demandar la resolución de las controversias para que se determine y declare quién tiene mejor derecho al predio y merece conservar la propiedad, para lo cual se deberá tener en cuenta lo siguiente:</w:t>
      </w:r>
    </w:p>
    <w:p w14:paraId="6E300A2B"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44031014" w14:textId="77777777" w:rsidR="00CB1679" w:rsidRPr="00CD7B09" w:rsidRDefault="00CB1679" w:rsidP="00CB1679">
      <w:pPr>
        <w:numPr>
          <w:ilvl w:val="0"/>
          <w:numId w:val="10"/>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fechas de las adjudicaciones;</w:t>
      </w:r>
    </w:p>
    <w:p w14:paraId="448C9DDE" w14:textId="77777777" w:rsidR="00CB1679" w:rsidRPr="00CD7B09" w:rsidRDefault="00CB1679" w:rsidP="00CB1679">
      <w:pPr>
        <w:numPr>
          <w:ilvl w:val="0"/>
          <w:numId w:val="10"/>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verificación de que los beneficiarios hayan cumplido con los requisitos establecidos en el régimen vigente para la adjudicación;</w:t>
      </w:r>
    </w:p>
    <w:p w14:paraId="619115E1" w14:textId="77777777" w:rsidR="00CB1679" w:rsidRPr="00CD7B09" w:rsidRDefault="00CB1679" w:rsidP="00CB1679">
      <w:pPr>
        <w:numPr>
          <w:ilvl w:val="0"/>
          <w:numId w:val="10"/>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fechas de inscripciones en la Oficina de Registro de Instrumentos Públicos correspondiente, siguiendo el principio de prioridad o rango establecido en el literal c) del artículo 3º de la Ley 1579 de 2012;</w:t>
      </w:r>
    </w:p>
    <w:p w14:paraId="1601367A" w14:textId="77777777" w:rsidR="00CB1679" w:rsidRPr="00CD7B09" w:rsidRDefault="00CB1679" w:rsidP="00CB1679">
      <w:pPr>
        <w:numPr>
          <w:ilvl w:val="0"/>
          <w:numId w:val="10"/>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mejoras implantadas en el terreno y quién las implantó;</w:t>
      </w:r>
    </w:p>
    <w:p w14:paraId="4793A2B6" w14:textId="77777777" w:rsidR="00CB1679" w:rsidRPr="00CD7B09" w:rsidRDefault="00CB1679" w:rsidP="00CB1679">
      <w:pPr>
        <w:numPr>
          <w:ilvl w:val="0"/>
          <w:numId w:val="10"/>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Quien ejerce posesión material de los predios, considerando los términos y requisitos de la prescripción adquisitiva del dominio.</w:t>
      </w:r>
    </w:p>
    <w:p w14:paraId="05D60965"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7F332308"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sentencia deberá pronunciarse sobre la propiedad de las mejoras y deberá ordenar en caso de que pertenezcan a una persona diferente a quien conservará la propiedad, su reconocimiento, así como sobre los demás derechos reales que estuvieran constituidos sobre los folios de matrícula inmobiliaria que identifican el bien.</w:t>
      </w:r>
    </w:p>
    <w:p w14:paraId="67D3E4B6"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46FA0F3B"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Resueltas las controversias sobre los actos de adjudicación, de ser el caso, el juez ordenará la recuperación material inmediata del bien inmueble, y tomará las medidas que se estimen necesarias para garantizar que las partes vencidas entreguen el inmueble. </w:t>
      </w:r>
    </w:p>
    <w:p w14:paraId="0227209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p>
    <w:p w14:paraId="321A897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CAPÍTULO II</w:t>
      </w:r>
    </w:p>
    <w:p w14:paraId="3F177132"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Competencia de la jurisdicción contencioso administrativa en los asuntos agrarios y rurales</w:t>
      </w:r>
    </w:p>
    <w:p w14:paraId="015E5E0A"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1C4A551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31. </w:t>
      </w:r>
      <w:r w:rsidRPr="00CD7B09">
        <w:rPr>
          <w:rFonts w:ascii="Century Gothic" w:eastAsia="Garamond" w:hAnsi="Century Gothic" w:cs="Garamond"/>
          <w:sz w:val="22"/>
          <w:szCs w:val="22"/>
        </w:rPr>
        <w:t>Modifíquese el numeral 3º del artículo 111 de la Ley 1437 de 2011, el cual quedará así:</w:t>
      </w:r>
    </w:p>
    <w:p w14:paraId="6AAE1FD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3507E54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3. Dictar auto o sentencia de unificación en los asuntos indicados en el artículo 271 de este código. En ningún caso, la Sala Plena podrá conocer de los asuntos de naturaleza agraria y rural que conozca la Sección Primera del Consejo de Estado. Cuando se trate de un asunto agrario y rural la Agencia Nacional de Defensa Jurídica del Estado también podrá solicitar que sea de conocimiento del Consejo de Estado. </w:t>
      </w:r>
    </w:p>
    <w:p w14:paraId="0AF32A63"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p>
    <w:p w14:paraId="2DADD2C9"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32. </w:t>
      </w:r>
      <w:r w:rsidRPr="00CD7B09">
        <w:rPr>
          <w:rFonts w:ascii="Century Gothic" w:eastAsia="Garamond" w:hAnsi="Century Gothic" w:cs="Garamond"/>
          <w:sz w:val="22"/>
          <w:szCs w:val="22"/>
        </w:rPr>
        <w:t xml:space="preserve">Adiciónese el parágrafo 2º al artículo 149 de la Ley 1437 de 2011, así: </w:t>
      </w:r>
    </w:p>
    <w:p w14:paraId="007C330E"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37BF3EE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Parágrafo 2º.</w:t>
      </w:r>
      <w:r w:rsidRPr="00CD7B09">
        <w:rPr>
          <w:rFonts w:ascii="Century Gothic" w:eastAsia="Garamond" w:hAnsi="Century Gothic" w:cs="Garamond"/>
          <w:sz w:val="22"/>
          <w:szCs w:val="22"/>
        </w:rPr>
        <w:t xml:space="preserve"> El Consejo de Estado, en Sala Plena de lo Contencioso Administrativo, por intermedio de sus Secciones, Subsecciones o Salas especiales, con arreglo a la de trabajo que la Sala disponga, conocerá en única instancia de los siguientes asuntos rurales y agrarios:</w:t>
      </w:r>
    </w:p>
    <w:p w14:paraId="3EDC30A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20445A94" w14:textId="77777777" w:rsidR="00CB1679" w:rsidRPr="00CD7B09" w:rsidRDefault="00CB1679" w:rsidP="00CB1679">
      <w:pPr>
        <w:widowControl w:val="0"/>
        <w:numPr>
          <w:ilvl w:val="2"/>
          <w:numId w:val="16"/>
        </w:numPr>
        <w:pBdr>
          <w:top w:val="nil"/>
          <w:left w:val="nil"/>
          <w:bottom w:val="nil"/>
          <w:right w:val="nil"/>
          <w:between w:val="nil"/>
        </w:pBdr>
        <w:ind w:right="49" w:hanging="190"/>
        <w:jc w:val="both"/>
        <w:rPr>
          <w:rFonts w:ascii="Century Gothic" w:eastAsia="Garamond" w:hAnsi="Century Gothic" w:cs="Garamond"/>
          <w:sz w:val="22"/>
          <w:szCs w:val="22"/>
        </w:rPr>
      </w:pPr>
      <w:r w:rsidRPr="00CD7B09">
        <w:rPr>
          <w:rFonts w:ascii="Century Gothic" w:eastAsia="Garamond" w:hAnsi="Century Gothic" w:cs="Garamond"/>
          <w:sz w:val="22"/>
          <w:szCs w:val="22"/>
        </w:rPr>
        <w:t>De la revisión eventual de las providencias que pongan fin al proceso dictadas por las Salas Agrarias y Rurales de los Tribunales Administrativos.</w:t>
      </w:r>
    </w:p>
    <w:p w14:paraId="7953B1A9" w14:textId="77777777" w:rsidR="00CB1679" w:rsidRPr="00CD7B09" w:rsidRDefault="00CB1679" w:rsidP="00CB1679">
      <w:pPr>
        <w:widowControl w:val="0"/>
        <w:pBdr>
          <w:top w:val="nil"/>
          <w:left w:val="nil"/>
          <w:bottom w:val="nil"/>
          <w:right w:val="nil"/>
          <w:between w:val="nil"/>
        </w:pBdr>
        <w:ind w:right="49"/>
        <w:jc w:val="both"/>
        <w:rPr>
          <w:rFonts w:ascii="Century Gothic" w:eastAsia="Garamond" w:hAnsi="Century Gothic" w:cs="Garamond"/>
          <w:sz w:val="22"/>
          <w:szCs w:val="22"/>
        </w:rPr>
      </w:pPr>
    </w:p>
    <w:p w14:paraId="1AD38EB1" w14:textId="77777777" w:rsidR="00CB1679" w:rsidRPr="00CD7B09" w:rsidRDefault="00CB1679" w:rsidP="00CB1679">
      <w:pPr>
        <w:widowControl w:val="0"/>
        <w:numPr>
          <w:ilvl w:val="2"/>
          <w:numId w:val="16"/>
        </w:numPr>
        <w:pBdr>
          <w:top w:val="nil"/>
          <w:left w:val="nil"/>
          <w:bottom w:val="nil"/>
          <w:right w:val="nil"/>
          <w:between w:val="nil"/>
        </w:pBdr>
        <w:ind w:right="49" w:hanging="190"/>
        <w:jc w:val="both"/>
        <w:rPr>
          <w:rFonts w:ascii="Century Gothic" w:eastAsia="Garamond" w:hAnsi="Century Gothic" w:cs="Garamond"/>
          <w:sz w:val="22"/>
          <w:szCs w:val="22"/>
        </w:rPr>
      </w:pPr>
      <w:r w:rsidRPr="00CD7B09">
        <w:rPr>
          <w:rFonts w:ascii="Century Gothic" w:eastAsia="Garamond" w:hAnsi="Century Gothic" w:cs="Garamond"/>
          <w:sz w:val="22"/>
          <w:szCs w:val="22"/>
        </w:rPr>
        <w:t>De las peticiones de cambio de radicación de un proceso o actuación de carácter agrario y rural tramitados por las Salas Agrarias y Rurales de los Tribunales Administrativos y los Jueces Agrarios y Rurales Administrativos.</w:t>
      </w:r>
    </w:p>
    <w:p w14:paraId="4115DE2A" w14:textId="77777777" w:rsidR="00CB1679" w:rsidRPr="00CD7B09" w:rsidRDefault="00CB1679" w:rsidP="00CB1679">
      <w:pPr>
        <w:widowControl w:val="0"/>
        <w:pBdr>
          <w:top w:val="nil"/>
          <w:left w:val="nil"/>
          <w:bottom w:val="nil"/>
          <w:right w:val="nil"/>
          <w:between w:val="nil"/>
        </w:pBdr>
        <w:ind w:left="640" w:right="49"/>
        <w:jc w:val="both"/>
        <w:rPr>
          <w:rFonts w:ascii="Century Gothic" w:eastAsia="Garamond" w:hAnsi="Century Gothic" w:cs="Garamond"/>
          <w:sz w:val="22"/>
          <w:szCs w:val="22"/>
        </w:rPr>
      </w:pPr>
    </w:p>
    <w:p w14:paraId="7EF8BE21" w14:textId="77777777" w:rsidR="00CB1679" w:rsidRPr="00CD7B09" w:rsidRDefault="00CB1679" w:rsidP="00CB1679">
      <w:pPr>
        <w:widowControl w:val="0"/>
        <w:numPr>
          <w:ilvl w:val="2"/>
          <w:numId w:val="16"/>
        </w:numPr>
        <w:pBdr>
          <w:top w:val="nil"/>
          <w:left w:val="nil"/>
          <w:bottom w:val="nil"/>
          <w:right w:val="nil"/>
          <w:between w:val="nil"/>
        </w:pBdr>
        <w:ind w:right="49" w:hanging="190"/>
        <w:jc w:val="both"/>
        <w:rPr>
          <w:rFonts w:ascii="Century Gothic" w:eastAsia="Garamond" w:hAnsi="Century Gothic" w:cs="Garamond"/>
          <w:sz w:val="22"/>
          <w:szCs w:val="22"/>
        </w:rPr>
      </w:pPr>
      <w:r w:rsidRPr="00CD7B09">
        <w:rPr>
          <w:rFonts w:ascii="Century Gothic" w:eastAsia="Garamond" w:hAnsi="Century Gothic" w:cs="Garamond"/>
          <w:sz w:val="22"/>
          <w:szCs w:val="22"/>
        </w:rPr>
        <w:t>De los recursos extraordinarios de revisión referidos en la Ley 160 de 1994.</w:t>
      </w:r>
    </w:p>
    <w:p w14:paraId="27A3062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342EE97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En relación con los asuntos rurales y agrarios que sean de conocimiento del Consejo de Estado en única o segunda instancia, cualquiera sea el medio de control o acción promovida, corresponderá a la Sección Primera Subsección B del Consejo de Estado la tramitación de estas materias. De igual forma se procederá, cuando el objeto del laudo corresponda a temas agrarios y rurales de conformidad con el régimen establecido para dicha materia.</w:t>
      </w:r>
    </w:p>
    <w:p w14:paraId="06C067E2"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1E5E0C2A" w14:textId="77777777" w:rsidR="00CB1679" w:rsidRPr="00CD7B09" w:rsidRDefault="00CB1679" w:rsidP="00CB1679">
      <w:pPr>
        <w:pBdr>
          <w:top w:val="none" w:sz="0" w:space="0" w:color="000000"/>
          <w:left w:val="none" w:sz="0" w:space="0" w:color="000000"/>
          <w:bottom w:val="none" w:sz="0" w:space="0" w:color="000000"/>
          <w:right w:val="none" w:sz="0" w:space="0" w:color="000000"/>
          <w:between w:val="none" w:sz="0" w:space="0" w:color="000000"/>
        </w:pBdr>
        <w:ind w:left="30"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33. </w:t>
      </w:r>
      <w:r w:rsidRPr="00CD7B09">
        <w:rPr>
          <w:rFonts w:ascii="Century Gothic" w:eastAsia="Garamond" w:hAnsi="Century Gothic" w:cs="Garamond"/>
          <w:sz w:val="22"/>
          <w:szCs w:val="22"/>
        </w:rPr>
        <w:t xml:space="preserve">Adiciónese el numeral 27 al artículo 152 de la Ley 1437 de 2011, el cual quedará así: </w:t>
      </w:r>
    </w:p>
    <w:p w14:paraId="1905708A" w14:textId="77777777" w:rsidR="00CB1679" w:rsidRPr="00CD7B09" w:rsidRDefault="00CB1679" w:rsidP="00CB1679">
      <w:pPr>
        <w:ind w:right="49"/>
        <w:jc w:val="both"/>
        <w:rPr>
          <w:rFonts w:ascii="Century Gothic" w:eastAsia="Garamond" w:hAnsi="Century Gothic" w:cs="Garamond"/>
          <w:sz w:val="22"/>
          <w:szCs w:val="22"/>
        </w:rPr>
      </w:pPr>
    </w:p>
    <w:p w14:paraId="00BB2A57" w14:textId="77777777" w:rsidR="00CB1679" w:rsidRPr="00CD7B09" w:rsidRDefault="00CB1679" w:rsidP="00CB1679">
      <w:pPr>
        <w:ind w:left="708"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27. De los de nulidad contra los actos de la Agencia Nacional de Tierras, en los casos previstos en la Ley. </w:t>
      </w:r>
    </w:p>
    <w:p w14:paraId="2753F4AB"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5ADE0C4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34. </w:t>
      </w:r>
      <w:r w:rsidRPr="00CD7B09">
        <w:rPr>
          <w:rFonts w:ascii="Century Gothic" w:eastAsia="Garamond" w:hAnsi="Century Gothic" w:cs="Garamond"/>
          <w:sz w:val="22"/>
          <w:szCs w:val="22"/>
        </w:rPr>
        <w:t>Adiciónese el numeral 9 y un parágrafo al artículo 151 de la Ley 1437 de 2011, el cual quedará así:</w:t>
      </w:r>
    </w:p>
    <w:p w14:paraId="1389E21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2BB24EF0" w14:textId="77777777" w:rsidR="00CB1679" w:rsidRPr="00CD7B09" w:rsidRDefault="00CB1679" w:rsidP="00CB1679">
      <w:pPr>
        <w:widowControl w:val="0"/>
        <w:pBdr>
          <w:top w:val="nil"/>
          <w:left w:val="nil"/>
          <w:bottom w:val="nil"/>
          <w:right w:val="nil"/>
          <w:between w:val="nil"/>
        </w:pBdr>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9. De la aprobación de los acuerdos de conciliación sobre asuntos agrarios y rurales de competencia de la jurisdicción de lo contencioso administrativo cuyas pretensiones patrimoniales excedan el equivalente a ochocientos (800) salarios mínimos legales mensuales. </w:t>
      </w:r>
    </w:p>
    <w:p w14:paraId="728B1FD5" w14:textId="77777777" w:rsidR="00CB1679" w:rsidRPr="00CD7B09" w:rsidRDefault="00CB1679" w:rsidP="00CB1679">
      <w:pPr>
        <w:widowControl w:val="0"/>
        <w:pBdr>
          <w:top w:val="nil"/>
          <w:left w:val="nil"/>
          <w:bottom w:val="nil"/>
          <w:right w:val="nil"/>
          <w:between w:val="nil"/>
        </w:pBdr>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Cuando la aprobación de los acuerdos de conciliación en estos casos sea parcial, el litigio seguirá su curso sobre lo no conciliado.</w:t>
      </w:r>
    </w:p>
    <w:p w14:paraId="5E5115A1" w14:textId="77777777" w:rsidR="00CB1679" w:rsidRPr="00CD7B09" w:rsidRDefault="00CB1679" w:rsidP="00CB1679">
      <w:pPr>
        <w:widowControl w:val="0"/>
        <w:pBdr>
          <w:top w:val="nil"/>
          <w:left w:val="nil"/>
          <w:bottom w:val="nil"/>
          <w:right w:val="nil"/>
          <w:between w:val="nil"/>
        </w:pBdr>
        <w:tabs>
          <w:tab w:val="left" w:pos="1336"/>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hanging="360"/>
        <w:jc w:val="both"/>
        <w:rPr>
          <w:rFonts w:ascii="Century Gothic" w:eastAsia="Garamond" w:hAnsi="Century Gothic" w:cs="Garamond"/>
          <w:sz w:val="22"/>
          <w:szCs w:val="22"/>
        </w:rPr>
      </w:pPr>
    </w:p>
    <w:p w14:paraId="67B7A70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Parágrafo. </w:t>
      </w:r>
      <w:r w:rsidRPr="00CD7B09">
        <w:rPr>
          <w:rFonts w:ascii="Century Gothic" w:eastAsia="Garamond" w:hAnsi="Century Gothic" w:cs="Garamond"/>
          <w:sz w:val="22"/>
          <w:szCs w:val="22"/>
        </w:rPr>
        <w:t>En relación con el asunto previsto en el numeral 9 de este artículo, corresponderá a las Salas agrarias y rurales de los Tribunales Administrativos la tramitación de estas materias.</w:t>
      </w:r>
    </w:p>
    <w:p w14:paraId="0B8F2304"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0D3F0CC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35. </w:t>
      </w:r>
      <w:r w:rsidRPr="00CD7B09">
        <w:rPr>
          <w:rFonts w:ascii="Century Gothic" w:eastAsia="Garamond" w:hAnsi="Century Gothic" w:cs="Garamond"/>
          <w:sz w:val="22"/>
          <w:szCs w:val="22"/>
        </w:rPr>
        <w:t>Adiciónese un parágrafo al artículo 153 de la Ley 1437 de 2011, el cual quedará así:</w:t>
      </w:r>
    </w:p>
    <w:p w14:paraId="46D9C3D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2B3C27D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Parágrafo.</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Cuando se trate de asuntos de índole agrario y rural, cualquiera sea el medio de control o acción promovida, de conformidad con el régimen establecido para el efecto, corresponderá a las Salas agrarias y rurales de los Tribunales Administrativos la tramitación de estas materias.</w:t>
      </w:r>
    </w:p>
    <w:p w14:paraId="3DD1372D"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1E3E8B8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36. </w:t>
      </w:r>
      <w:r w:rsidRPr="00CD7B09">
        <w:rPr>
          <w:rFonts w:ascii="Century Gothic" w:eastAsia="Garamond" w:hAnsi="Century Gothic" w:cs="Garamond"/>
          <w:sz w:val="22"/>
          <w:szCs w:val="22"/>
        </w:rPr>
        <w:t>Modifíquese</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el artículo 154 de la Ley 1437 de 2011, el cual quedará así:</w:t>
      </w:r>
    </w:p>
    <w:p w14:paraId="607C374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18625CB7" w14:textId="77777777" w:rsidR="00CB1679" w:rsidRPr="00CD7B09" w:rsidRDefault="00CB1679" w:rsidP="00CB1679">
      <w:pPr>
        <w:widowControl w:val="0"/>
        <w:pBdr>
          <w:top w:val="nil"/>
          <w:left w:val="nil"/>
          <w:bottom w:val="nil"/>
          <w:right w:val="nil"/>
          <w:between w:val="nil"/>
        </w:pBdr>
        <w:tabs>
          <w:tab w:val="left" w:pos="3540"/>
          <w:tab w:val="left" w:pos="4248"/>
          <w:tab w:val="left" w:pos="4956"/>
          <w:tab w:val="left" w:pos="5664"/>
          <w:tab w:val="left" w:pos="6372"/>
          <w:tab w:val="left" w:pos="7080"/>
          <w:tab w:val="left" w:pos="7788"/>
          <w:tab w:val="left" w:pos="8338"/>
        </w:tabs>
        <w:ind w:left="426"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Artículo 154. Competencia de los jueces administrativos en única instancia</w:t>
      </w:r>
      <w:r w:rsidRPr="00CD7B09">
        <w:rPr>
          <w:rFonts w:ascii="Century Gothic" w:eastAsia="Garamond" w:hAnsi="Century Gothic" w:cs="Garamond"/>
          <w:sz w:val="22"/>
          <w:szCs w:val="22"/>
        </w:rPr>
        <w:t>. Los jueces administrativos conocerán en única instancia:</w:t>
      </w:r>
    </w:p>
    <w:p w14:paraId="108BA6DC" w14:textId="77777777" w:rsidR="00CB1679" w:rsidRPr="00CD7B09" w:rsidRDefault="00CB1679" w:rsidP="00CB1679">
      <w:pPr>
        <w:widowControl w:val="0"/>
        <w:pBdr>
          <w:top w:val="nil"/>
          <w:left w:val="nil"/>
          <w:bottom w:val="nil"/>
          <w:right w:val="nil"/>
          <w:between w:val="nil"/>
        </w:pBdr>
        <w:tabs>
          <w:tab w:val="left" w:pos="3540"/>
          <w:tab w:val="left" w:pos="4248"/>
          <w:tab w:val="left" w:pos="4956"/>
          <w:tab w:val="left" w:pos="5664"/>
          <w:tab w:val="left" w:pos="6372"/>
          <w:tab w:val="left" w:pos="7080"/>
          <w:tab w:val="left" w:pos="7788"/>
          <w:tab w:val="left" w:pos="8338"/>
        </w:tabs>
        <w:ind w:left="553" w:right="49"/>
        <w:jc w:val="both"/>
        <w:rPr>
          <w:rFonts w:ascii="Century Gothic" w:eastAsia="Garamond" w:hAnsi="Century Gothic" w:cs="Garamond"/>
          <w:sz w:val="22"/>
          <w:szCs w:val="22"/>
          <w:u w:val="single"/>
        </w:rPr>
      </w:pPr>
    </w:p>
    <w:p w14:paraId="588CF93F" w14:textId="77777777" w:rsidR="00CB1679" w:rsidRPr="00CD7B09" w:rsidRDefault="00CB1679" w:rsidP="00CB1679">
      <w:pPr>
        <w:widowControl w:val="0"/>
        <w:numPr>
          <w:ilvl w:val="0"/>
          <w:numId w:val="8"/>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Cardo" w:hAnsi="Century Gothic" w:cs="Cardo"/>
          <w:sz w:val="22"/>
          <w:szCs w:val="22"/>
        </w:rPr>
        <w:t>Del recurso de insistencia previsto en la parte primera de este código, cuando la providencia haya sido proferida por funcionario o autoridad del orden municipal o distrital.</w:t>
      </w:r>
    </w:p>
    <w:p w14:paraId="3342CFFC"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140"/>
        <w:jc w:val="both"/>
        <w:rPr>
          <w:rFonts w:ascii="Century Gothic" w:eastAsia="Garamond" w:hAnsi="Century Gothic" w:cs="Garamond"/>
          <w:sz w:val="22"/>
          <w:szCs w:val="22"/>
        </w:rPr>
      </w:pPr>
    </w:p>
    <w:p w14:paraId="2531D82E" w14:textId="77777777" w:rsidR="00CB1679" w:rsidRPr="00CD7B09" w:rsidRDefault="00CB1679" w:rsidP="00CB1679">
      <w:pPr>
        <w:numPr>
          <w:ilvl w:val="0"/>
          <w:numId w:val="8"/>
        </w:numPr>
        <w:pBdr>
          <w:top w:val="nil"/>
          <w:left w:val="nil"/>
          <w:bottom w:val="nil"/>
          <w:right w:val="nil"/>
          <w:between w:val="nil"/>
        </w:pBdr>
        <w:tabs>
          <w:tab w:val="left" w:pos="708"/>
        </w:tabs>
        <w:ind w:right="49"/>
        <w:jc w:val="both"/>
        <w:rPr>
          <w:rFonts w:ascii="Century Gothic" w:eastAsia="Garamond" w:hAnsi="Century Gothic" w:cs="Garamond"/>
          <w:sz w:val="22"/>
          <w:szCs w:val="22"/>
        </w:rPr>
      </w:pPr>
      <w:r w:rsidRPr="00CD7B09">
        <w:rPr>
          <w:rFonts w:ascii="Century Gothic" w:eastAsia="Cardo" w:hAnsi="Century Gothic" w:cs="Cardo"/>
          <w:sz w:val="22"/>
          <w:szCs w:val="22"/>
        </w:rPr>
        <w:t xml:space="preserve">De la ejecución de condenas impuestas o conciliaciones judiciales aprobadas en los procesos que haya conocido el respectivo juzgado en única instancia, incluso si la obligación que se persigue surge en el trámite de los recursos extraordinarios. En este caso, la competencia se determina por el factor de conexidad, sin atención a la cuantía. </w:t>
      </w:r>
    </w:p>
    <w:p w14:paraId="043F2A31" w14:textId="77777777" w:rsidR="00CB1679" w:rsidRPr="00CD7B09" w:rsidRDefault="00CB1679" w:rsidP="00CB1679">
      <w:pPr>
        <w:pBdr>
          <w:top w:val="nil"/>
          <w:left w:val="nil"/>
          <w:bottom w:val="nil"/>
          <w:right w:val="nil"/>
          <w:between w:val="nil"/>
        </w:pBdr>
        <w:tabs>
          <w:tab w:val="left" w:pos="708"/>
          <w:tab w:val="left" w:pos="3540"/>
          <w:tab w:val="left" w:pos="4248"/>
          <w:tab w:val="left" w:pos="4956"/>
          <w:tab w:val="left" w:pos="5664"/>
          <w:tab w:val="left" w:pos="6372"/>
          <w:tab w:val="left" w:pos="7080"/>
          <w:tab w:val="left" w:pos="7788"/>
          <w:tab w:val="left" w:pos="8338"/>
        </w:tabs>
        <w:ind w:right="49" w:firstLine="140"/>
        <w:jc w:val="both"/>
        <w:rPr>
          <w:rFonts w:ascii="Century Gothic" w:eastAsia="Garamond" w:hAnsi="Century Gothic" w:cs="Garamond"/>
          <w:sz w:val="22"/>
          <w:szCs w:val="22"/>
        </w:rPr>
      </w:pPr>
    </w:p>
    <w:p w14:paraId="0642463D" w14:textId="77777777" w:rsidR="00CB1679" w:rsidRPr="00CD7B09" w:rsidRDefault="00CB1679" w:rsidP="00CB1679">
      <w:pPr>
        <w:numPr>
          <w:ilvl w:val="0"/>
          <w:numId w:val="8"/>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la aprobación de los acuerdos de conciliación sobre asuntos agrarios y rurales de competencia de la jurisdicción de lo contencioso administrativo cuyas pretensiones patrimoniales no excedan el equivalente a ochocientos (800) salarios mínimos legales mensuales vigentes, vigentes, y de aquellos que no tengan cuantía.</w:t>
      </w:r>
    </w:p>
    <w:p w14:paraId="378D3A9F"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140"/>
        <w:jc w:val="both"/>
        <w:rPr>
          <w:rFonts w:ascii="Century Gothic" w:eastAsia="Garamond" w:hAnsi="Century Gothic" w:cs="Garamond"/>
          <w:sz w:val="22"/>
          <w:szCs w:val="22"/>
        </w:rPr>
      </w:pPr>
    </w:p>
    <w:p w14:paraId="400EC2E6"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140"/>
        <w:jc w:val="both"/>
        <w:rPr>
          <w:rFonts w:ascii="Century Gothic" w:eastAsia="Garamond" w:hAnsi="Century Gothic" w:cs="Garamond"/>
          <w:sz w:val="22"/>
          <w:szCs w:val="22"/>
        </w:rPr>
      </w:pPr>
      <w:r w:rsidRPr="00CD7B09">
        <w:rPr>
          <w:rFonts w:ascii="Century Gothic" w:eastAsia="Garamond" w:hAnsi="Century Gothic" w:cs="Garamond"/>
          <w:sz w:val="22"/>
          <w:szCs w:val="22"/>
        </w:rPr>
        <w:t>Cuando la aprobación de los acuerdos de conciliación en estos casos sea parcial, el litigio seguirá su curso sobre lo no conciliado.</w:t>
      </w:r>
    </w:p>
    <w:p w14:paraId="1157C2EE" w14:textId="77777777" w:rsidR="00CB1679" w:rsidRPr="00CD7B09" w:rsidRDefault="00CB1679" w:rsidP="00CB1679">
      <w:pPr>
        <w:numPr>
          <w:ilvl w:val="0"/>
          <w:numId w:val="8"/>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la acción de nulidad agraria y restablecimiento del derecho contra los actos expedidos por la autoridad administrativa sobre asuntos agrarios y rurales cuyas pretensiones patrimoniales no excedan el equivalente a quinientos (500) salarios mínimos legales mensuales vigentes. De los asuntos contenciosos agrarios y rurales de competencia de la jurisdicción de lo contencioso administrativo, cualquiera sea el medio de control o acción promovida, cuyas pretensiones patrimoniales no excedan el equivalente a quinientos (500) salarios mínimos legales mensuales vigentes.</w:t>
      </w:r>
    </w:p>
    <w:p w14:paraId="6EDDE1F9"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0" w:right="49"/>
        <w:jc w:val="both"/>
        <w:rPr>
          <w:rFonts w:ascii="Century Gothic" w:eastAsia="Garamond" w:hAnsi="Century Gothic" w:cs="Garamond"/>
          <w:sz w:val="22"/>
          <w:szCs w:val="22"/>
        </w:rPr>
      </w:pPr>
    </w:p>
    <w:p w14:paraId="51331287"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36"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Parágrafo. En relación con los asuntos previstos en los numerales 3 y 4 de este artículo, corresponderá a los juzgados agrarios y rurales administrativos la tramitación de estas materias a través del proceso especial agrario y rural. </w:t>
      </w:r>
    </w:p>
    <w:p w14:paraId="2F5AB5A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 </w:t>
      </w:r>
    </w:p>
    <w:p w14:paraId="45F7EE7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37. </w:t>
      </w:r>
      <w:r w:rsidRPr="00CD7B09">
        <w:rPr>
          <w:rFonts w:ascii="Century Gothic" w:eastAsia="Garamond" w:hAnsi="Century Gothic" w:cs="Garamond"/>
          <w:sz w:val="22"/>
          <w:szCs w:val="22"/>
        </w:rPr>
        <w:t>Modifíquese el artículo 155 de la Ley 1437 de 2011, el cual quedará así:</w:t>
      </w:r>
    </w:p>
    <w:p w14:paraId="5383E51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s>
        <w:ind w:left="567" w:right="49"/>
        <w:jc w:val="both"/>
        <w:rPr>
          <w:rFonts w:ascii="Century Gothic" w:eastAsia="Garamond" w:hAnsi="Century Gothic" w:cs="Garamond"/>
          <w:sz w:val="22"/>
          <w:szCs w:val="22"/>
        </w:rPr>
      </w:pPr>
    </w:p>
    <w:p w14:paraId="05F823A9"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s>
        <w:ind w:left="567"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Artículo 155. Competencia de los jueces administrativos en primera instancia</w:t>
      </w:r>
      <w:r w:rsidRPr="00CD7B09">
        <w:rPr>
          <w:rFonts w:ascii="Century Gothic" w:eastAsia="Garamond" w:hAnsi="Century Gothic" w:cs="Garamond"/>
          <w:sz w:val="22"/>
          <w:szCs w:val="22"/>
        </w:rPr>
        <w:t>. Los jueces administrativos conocerán en primera instancia de los siguientes asuntos:</w:t>
      </w:r>
    </w:p>
    <w:p w14:paraId="1B7CB362"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s>
        <w:ind w:left="567" w:right="49"/>
        <w:jc w:val="both"/>
        <w:rPr>
          <w:rFonts w:ascii="Century Gothic" w:eastAsia="Garamond" w:hAnsi="Century Gothic" w:cs="Garamond"/>
          <w:sz w:val="22"/>
          <w:szCs w:val="22"/>
        </w:rPr>
      </w:pPr>
    </w:p>
    <w:p w14:paraId="19FA77CB" w14:textId="77777777" w:rsidR="00CB1679" w:rsidRPr="00CD7B09" w:rsidRDefault="00CB1679" w:rsidP="00CB1679">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la nulidad contra actos administrativos expedidos por funcionarios u organismos del orden distrital y municipal, o por las personas o entidades de derecho privado que cumplan funciones administrativas en el mismo orden. Se exceptúan los de nulidad contra los actos administrativos relativos a impuestos, tasas, contribuciones y sanciones relacionadas con estos asuntos, cuya competencia está asignada a los tribunales administrativos. </w:t>
      </w:r>
    </w:p>
    <w:p w14:paraId="38D25B4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79044C91" w14:textId="77777777" w:rsidR="00CB1679" w:rsidRPr="00CD7B09" w:rsidRDefault="00CB1679" w:rsidP="00CB1679">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los de nulidad y restablecimiento del derecho de carácter laboral que no provengan de un contrato de trabajo, en los cuales se controviertan actos administrativos de cualquier autoridad, sin atención a su cuantía. </w:t>
      </w:r>
    </w:p>
    <w:p w14:paraId="34FA431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7FECE9A0" w14:textId="77777777" w:rsidR="00CB1679" w:rsidRPr="00CD7B09" w:rsidRDefault="00CB1679" w:rsidP="00CB1679">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los de nulidad y restablecimiento del derecho contra actos administrativos de cualquier autoridad, cuya cuantía no exceda de quinientos (500) salarios mínimos legales mensuales vigentes.</w:t>
      </w:r>
    </w:p>
    <w:p w14:paraId="3ECB8D4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21F76A82" w14:textId="77777777" w:rsidR="00CB1679" w:rsidRPr="00CD7B09" w:rsidRDefault="00CB1679" w:rsidP="00CB1679">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los procesos que se promuevan sobre el monto, distribución o asignación de impuestos, contribuciones y tasas nacionales, departamentales, municipales o distritales, cuya cuantía no exceda de quinientos (500) salarios mínimos legales mensuales vigentes. </w:t>
      </w:r>
    </w:p>
    <w:p w14:paraId="2BBDB9E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28924B28" w14:textId="77777777" w:rsidR="00CB1679" w:rsidRPr="00CD7B09" w:rsidRDefault="00CB1679" w:rsidP="00CB1679">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los relativos a los contratos, cualquiera que sea su régimen, en los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no exceda de quinientos (500) salarios mínimos legales mensuales vigentes. </w:t>
      </w:r>
    </w:p>
    <w:p w14:paraId="0F5A0EC2" w14:textId="77777777" w:rsidR="00CB1679" w:rsidRPr="00CD7B09" w:rsidRDefault="00CB1679" w:rsidP="00CB1679">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los de reparación directa, inclusive aquellos provenientes de la acción u omisión de los agentes judiciales, cuando la cuantía no exceda de mil (1.000) salarios mínimos legales mensuales vigentes. </w:t>
      </w:r>
    </w:p>
    <w:p w14:paraId="0CF4D80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2811780A" w14:textId="77777777" w:rsidR="00CB1679" w:rsidRPr="00CD7B09" w:rsidRDefault="00CB1679" w:rsidP="00CB1679">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la ejecución de condenas impuestas o conciliaciones judiciales aprobadas en los procesos que haya conocido el respectivo juzgado en primera instancia, incluso si la obligación que se persigue surge en el trámite de los recursos extraordinarios. Asimismo, conocerá de la ejecución de las obligaciones contenidas en conciliaciones extrajudiciales cuyo trámite de aprobación se haya conocido en primera instancia. En los casos señalados en este numeral, la competencia se determina por el factor de conexidad, sin atención a la cuantía. Igualmente, dé los demás procesos ejecutivos cuando la cuantía no exceda de mil quinientos (1.500) salarios mínimos legales mensuales vigentes. </w:t>
      </w:r>
    </w:p>
    <w:p w14:paraId="4136E12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7167DCD2" w14:textId="77777777" w:rsidR="00CB1679" w:rsidRPr="00CD7B09" w:rsidRDefault="00CB1679" w:rsidP="00CB1679">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la repetición que el Estado ejerza contra los servidores o exservidores públicos y personas privadas que cumplan funciones públicas, incluidos los agentes judiciales, cuando la cuantía no exceda de quinientos (500) salarios mínimos legales mensuales vigentes, y cuya competencia no estuviera asignada por el factor subjetivo al Consejo de Estado. </w:t>
      </w:r>
    </w:p>
    <w:p w14:paraId="388F4DB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6CA52ED5" w14:textId="77777777" w:rsidR="00CB1679" w:rsidRPr="00CD7B09" w:rsidRDefault="00CB1679" w:rsidP="00CB1679">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los asuntos relativos a la nulidad del acto de elección por cuerpos electorales, así como de los actos de nombramiento, sin pretensión de restablecimiento del derecho, cuya competencia no esté asignada al Consejo de Estado o a los tribunales administrativos. Igualmente, conocerán de la nulidad de la elección de los jueces de paz y jueces de reconsideración. </w:t>
      </w:r>
    </w:p>
    <w:p w14:paraId="18029AE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36FDCE76" w14:textId="77777777" w:rsidR="00CB1679" w:rsidRPr="00CD7B09" w:rsidRDefault="00CB1679" w:rsidP="00CB1679">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los relativos a la protección de derechos e intereses colectivos y de cumplimiento, contra las autoridades de los niveles departamental, distrital, municipal o local o las personas privadas que dentro de esos mismos ámbitos desempeñen funciones administrativas. </w:t>
      </w:r>
    </w:p>
    <w:p w14:paraId="41E65B5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3D4ABD3F" w14:textId="77777777" w:rsidR="00CB1679" w:rsidRPr="00CD7B09" w:rsidRDefault="00CB1679" w:rsidP="00CB1679">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Del medio de control de reparación de perjuicios causados a un grupo, cuando la cuantía no exceda de mil (1.000) salarios mínimos legales mensuales vigentes. Si el daño proviene de un acto administrativo de carácter particular, cuando la cuantía no exceda de quinientos (500) salarios mínimos legales mensuales vigentes. </w:t>
      </w:r>
    </w:p>
    <w:p w14:paraId="774AECE7" w14:textId="77777777" w:rsidR="00CB1679" w:rsidRPr="00CD7B09" w:rsidRDefault="00CB1679" w:rsidP="00CB1679">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de nulidad del acto de calificación y clasificación de los proponentes, expedida por las Cámaras de Comercio. </w:t>
      </w:r>
    </w:p>
    <w:p w14:paraId="106F640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1C5C97F1" w14:textId="77777777" w:rsidR="00CB1679" w:rsidRPr="00CD7B09" w:rsidRDefault="00CB1679" w:rsidP="00CB1679">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los de nulidad de los actos administrativos de los distritos y municipios y de las entidades descentralizadas de carácter distrital o municipal que deban someterse para su validez a la aprobación de autoridad superior, o que hayan sido dictados en virtud de delegación de funciones hecha por la misma. </w:t>
      </w:r>
    </w:p>
    <w:p w14:paraId="273DABA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03EEFADE" w14:textId="77777777" w:rsidR="00CB1679" w:rsidRPr="00CD7B09" w:rsidRDefault="00CB1679" w:rsidP="00CB1679">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Sin atención a la cuantía, de los procesos de nulidad y restablecimiento del derecho contra actos administrativos de carácter disciplinario que no estén atribuidos a los tribunales o al Consejo de Estado. </w:t>
      </w:r>
    </w:p>
    <w:p w14:paraId="021AB7E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560E7EB9" w14:textId="77777777" w:rsidR="00CB1679" w:rsidRPr="00CD7B09" w:rsidRDefault="00CB1679" w:rsidP="00CB1679">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los de nulidad y restablecimiento del derecho que carezcan de cuantía contra actos administrativos expedidos por autoridades del orden distrital o municipal, o por las personas o entidades de derecho privado que cumplan funciones administrativas en el mismo orden. </w:t>
      </w:r>
    </w:p>
    <w:p w14:paraId="05205C9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458C23F5" w14:textId="77777777" w:rsidR="00CB1679" w:rsidRPr="00CD7B09" w:rsidRDefault="00CB1679" w:rsidP="00CB1679">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todos los demás de carácter contencioso administrativo que involucren entidades del orden municipal o distrital o particulares que cumplan funciones administrativas en el mismo orden, para los cuales no exista regla especial de competencia. </w:t>
      </w:r>
    </w:p>
    <w:p w14:paraId="2C4C3C7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03B80ECD" w14:textId="77777777" w:rsidR="00CB1679" w:rsidRPr="00CD7B09" w:rsidRDefault="00CB1679" w:rsidP="00CB1679">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la acción de nulidad agraria contra los actos expedidos por la autoridad administrativa sobre asuntos agrarios y rurales cuyas pretensiones patrimoniales excedan el equivalente a mil (1000) salarios mínimos legales mensuales vigentes.</w:t>
      </w:r>
    </w:p>
    <w:p w14:paraId="471C8E1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2D83C400" w14:textId="77777777" w:rsidR="00CB1679" w:rsidRPr="00CD7B09" w:rsidRDefault="00CB1679" w:rsidP="00CB1679">
      <w:pPr>
        <w:widowControl w:val="0"/>
        <w:numPr>
          <w:ilvl w:val="0"/>
          <w:numId w:val="6"/>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los asuntos contenciosos agrarios y rurales, cualquiera sea el medio de control o acción promovida, cuyas pretensiones patrimoniales excedan el equivalente a mil (1000) salarios mínimos legales mensuales vigentes.</w:t>
      </w:r>
    </w:p>
    <w:p w14:paraId="3302FDF5" w14:textId="77777777" w:rsidR="00CB1679" w:rsidRPr="00CD7B09" w:rsidRDefault="00CB1679" w:rsidP="00CB1679">
      <w:pPr>
        <w:widowControl w:val="0"/>
        <w:pBdr>
          <w:top w:val="nil"/>
          <w:left w:val="nil"/>
          <w:bottom w:val="nil"/>
          <w:right w:val="nil"/>
          <w:between w:val="nil"/>
        </w:pBdr>
        <w:ind w:left="567" w:right="49"/>
        <w:jc w:val="both"/>
        <w:rPr>
          <w:rFonts w:ascii="Century Gothic" w:eastAsia="Garamond" w:hAnsi="Century Gothic" w:cs="Garamond"/>
          <w:sz w:val="22"/>
          <w:szCs w:val="22"/>
        </w:rPr>
      </w:pPr>
    </w:p>
    <w:p w14:paraId="14D55E33" w14:textId="77777777" w:rsidR="00CB1679" w:rsidRPr="00CD7B09" w:rsidRDefault="00CB1679" w:rsidP="00CB1679">
      <w:pPr>
        <w:widowControl w:val="0"/>
        <w:numPr>
          <w:ilvl w:val="0"/>
          <w:numId w:val="6"/>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todos los demás asuntos agrarios y rurales relativos a la jurisdicción de lo contencioso administrativo para los cuales no exista regla especial de competencia.</w:t>
      </w:r>
    </w:p>
    <w:p w14:paraId="588B74DC" w14:textId="77777777" w:rsidR="00CB1679" w:rsidRPr="00CD7B09" w:rsidRDefault="00CB1679" w:rsidP="00CB1679">
      <w:pPr>
        <w:widowControl w:val="0"/>
        <w:pBdr>
          <w:top w:val="nil"/>
          <w:left w:val="nil"/>
          <w:bottom w:val="nil"/>
          <w:right w:val="nil"/>
          <w:between w:val="nil"/>
        </w:pBdr>
        <w:ind w:left="567" w:right="49"/>
        <w:jc w:val="both"/>
        <w:rPr>
          <w:rFonts w:ascii="Century Gothic" w:eastAsia="Garamond" w:hAnsi="Century Gothic" w:cs="Garamond"/>
          <w:sz w:val="22"/>
          <w:szCs w:val="22"/>
        </w:rPr>
      </w:pPr>
    </w:p>
    <w:p w14:paraId="790F0DCF" w14:textId="77777777" w:rsidR="00CB1679" w:rsidRPr="00CD7B09" w:rsidRDefault="00CB1679" w:rsidP="00CB1679">
      <w:pPr>
        <w:widowControl w:val="0"/>
        <w:numPr>
          <w:ilvl w:val="0"/>
          <w:numId w:val="6"/>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los demás asuntos que les asignen leyes especiales</w:t>
      </w:r>
    </w:p>
    <w:p w14:paraId="5191C1F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s>
        <w:ind w:left="567" w:right="49"/>
        <w:jc w:val="both"/>
        <w:rPr>
          <w:rFonts w:ascii="Century Gothic" w:eastAsia="Garamond" w:hAnsi="Century Gothic" w:cs="Garamond"/>
          <w:sz w:val="22"/>
          <w:szCs w:val="22"/>
        </w:rPr>
      </w:pPr>
    </w:p>
    <w:p w14:paraId="5FCC40F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Parágrafo. En relación con los asuntos previstos en los numerales 17, 18 y 19 de este artículo, corresponderá a los juzgados agrarios y rurales administrativos la tramitación de estas materias a través del proceso especial agrario y rural. </w:t>
      </w:r>
    </w:p>
    <w:p w14:paraId="39E4D15E"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1A40DF3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CAPÍTULO III</w:t>
      </w:r>
    </w:p>
    <w:p w14:paraId="45C0E3B4"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Competencia de la jurisdicción ordinaria en los asuntos agrarios y rurales</w:t>
      </w:r>
    </w:p>
    <w:p w14:paraId="13EC413E"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698F9A9F"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38. </w:t>
      </w:r>
      <w:r w:rsidRPr="00CD7B09">
        <w:rPr>
          <w:rFonts w:ascii="Century Gothic" w:eastAsia="Garamond" w:hAnsi="Century Gothic" w:cs="Garamond"/>
          <w:sz w:val="22"/>
          <w:szCs w:val="22"/>
        </w:rPr>
        <w:t>Adiciónese el artículo 30A a la Ley 1564 de 2012, el cual quedará así:</w:t>
      </w:r>
    </w:p>
    <w:p w14:paraId="452BC152"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b/>
          <w:sz w:val="22"/>
          <w:szCs w:val="22"/>
        </w:rPr>
      </w:pPr>
    </w:p>
    <w:p w14:paraId="3AA42E6C"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Artículo 30A. Competencia de la Sala de Casación Civil, Agraria y Rural de la Corte Suprema de Justicia.</w:t>
      </w:r>
      <w:r w:rsidRPr="00CD7B09">
        <w:rPr>
          <w:rFonts w:ascii="Century Gothic" w:eastAsia="Garamond" w:hAnsi="Century Gothic" w:cs="Garamond"/>
          <w:sz w:val="22"/>
          <w:szCs w:val="22"/>
        </w:rPr>
        <w:t xml:space="preserve"> La Corte Suprema de Justicia conoce en su Sala de Casación Civil, Agraria y Rural los siguientes asuntos relacionados con la especialidad agraria y rural:</w:t>
      </w:r>
      <w:r w:rsidRPr="00CD7B09">
        <w:rPr>
          <w:rFonts w:ascii="Century Gothic" w:eastAsia="Garamond" w:hAnsi="Century Gothic" w:cs="Garamond"/>
          <w:sz w:val="22"/>
          <w:szCs w:val="22"/>
        </w:rPr>
        <w:br/>
      </w:r>
    </w:p>
    <w:p w14:paraId="4795B196" w14:textId="77777777" w:rsidR="00CB1679" w:rsidRPr="00CD7B09" w:rsidRDefault="00CB1679" w:rsidP="00CB1679">
      <w:pPr>
        <w:widowControl w:val="0"/>
        <w:numPr>
          <w:ilvl w:val="0"/>
          <w:numId w:val="9"/>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Del recurso extraordinario de casación interpuesto contra las providencias que pongan fin al proceso dictadas por parte de las Salas Agrarias y Rurales de los Tribunales Superiores de Distrito Judicial y los Jueces Agrarios y Rurales.</w:t>
      </w:r>
    </w:p>
    <w:p w14:paraId="54CAA4DA" w14:textId="77777777" w:rsidR="00CB1679" w:rsidRPr="00CD7B09" w:rsidRDefault="00CB1679" w:rsidP="00CB1679">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Century Gothic" w:eastAsia="Garamond" w:hAnsi="Century Gothic" w:cs="Garamond"/>
          <w:sz w:val="22"/>
          <w:szCs w:val="22"/>
        </w:rPr>
      </w:pPr>
    </w:p>
    <w:p w14:paraId="7D232578" w14:textId="77777777" w:rsidR="00CB1679" w:rsidRPr="00CD7B09" w:rsidRDefault="00CB1679" w:rsidP="00CB1679">
      <w:pPr>
        <w:widowControl w:val="0"/>
        <w:numPr>
          <w:ilvl w:val="0"/>
          <w:numId w:val="9"/>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los asuntos de naturaleza agraria y rural, de conformidad con el régimen establecido para el efecto, avocados por razones de importancia jurídica, trascendencia económica o social, o necesidad de sentar jurisprudencia, que ameriten la expedición de una sentencia de unificación.</w:t>
      </w:r>
    </w:p>
    <w:p w14:paraId="48616A79" w14:textId="77777777" w:rsidR="00CB1679" w:rsidRPr="00CD7B09" w:rsidRDefault="00CB1679" w:rsidP="00CB1679">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Century Gothic" w:eastAsia="Garamond" w:hAnsi="Century Gothic" w:cs="Garamond"/>
          <w:sz w:val="22"/>
          <w:szCs w:val="22"/>
        </w:rPr>
      </w:pPr>
    </w:p>
    <w:p w14:paraId="5C3E83CA" w14:textId="77777777" w:rsidR="00CB1679" w:rsidRPr="00CD7B09" w:rsidRDefault="00CB1679" w:rsidP="00CB1679">
      <w:pPr>
        <w:widowControl w:val="0"/>
        <w:numPr>
          <w:ilvl w:val="0"/>
          <w:numId w:val="9"/>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Del exequátur de sentencias proferidas en país extranjero, en relación con los asuntos de naturaleza agraria y rural, de conformidad con el régimen establecido para el efecto, sin perjuicio de lo estipulado en los tratados internacionales.</w:t>
      </w:r>
    </w:p>
    <w:p w14:paraId="6552C26F" w14:textId="77777777" w:rsidR="00CB1679" w:rsidRPr="00CD7B09" w:rsidRDefault="00CB1679" w:rsidP="00CB1679">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Century Gothic" w:eastAsia="Garamond" w:hAnsi="Century Gothic" w:cs="Garamond"/>
          <w:sz w:val="22"/>
          <w:szCs w:val="22"/>
        </w:rPr>
      </w:pPr>
    </w:p>
    <w:p w14:paraId="32FA054D" w14:textId="77777777" w:rsidR="00CB1679" w:rsidRPr="00CD7B09" w:rsidRDefault="00CB1679" w:rsidP="00CB1679">
      <w:pPr>
        <w:widowControl w:val="0"/>
        <w:numPr>
          <w:ilvl w:val="0"/>
          <w:numId w:val="9"/>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Del reconocimiento y la ejecución de laudos arbitrales proferidos en el extranjero, en relación con los asuntos de naturaleza agraria y rural, de conformidad con el régimen establecido para el efecto y las normas que regulan la materia.</w:t>
      </w:r>
    </w:p>
    <w:p w14:paraId="3CAA20CE" w14:textId="77777777" w:rsidR="00CB1679" w:rsidRPr="00CD7B09" w:rsidRDefault="00CB1679" w:rsidP="00CB1679">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Century Gothic" w:eastAsia="Garamond" w:hAnsi="Century Gothic" w:cs="Garamond"/>
          <w:sz w:val="22"/>
          <w:szCs w:val="22"/>
        </w:rPr>
      </w:pPr>
    </w:p>
    <w:p w14:paraId="65B963C3" w14:textId="77777777" w:rsidR="00CB1679" w:rsidRPr="00CD7B09" w:rsidRDefault="00CB1679" w:rsidP="00CB1679">
      <w:pPr>
        <w:widowControl w:val="0"/>
        <w:numPr>
          <w:ilvl w:val="0"/>
          <w:numId w:val="9"/>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los procesos contenciosos en que sea parte un Estado extranjero o un agente diplomático acreditado ante el Gobierno de la República, en los casos previstos por el derecho internacional y que tengan relación con los asuntos de naturaleza agraria y rural, de conformidad con el régimen establecido para el efecto.</w:t>
      </w:r>
    </w:p>
    <w:p w14:paraId="14352362" w14:textId="77777777" w:rsidR="00CB1679" w:rsidRPr="00CD7B09" w:rsidRDefault="00CB1679" w:rsidP="00CB1679">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Century Gothic" w:eastAsia="Garamond" w:hAnsi="Century Gothic" w:cs="Garamond"/>
          <w:sz w:val="22"/>
          <w:szCs w:val="22"/>
        </w:rPr>
      </w:pPr>
    </w:p>
    <w:p w14:paraId="559B1D86" w14:textId="77777777" w:rsidR="00CB1679" w:rsidRPr="00CD7B09" w:rsidRDefault="00CB1679" w:rsidP="00CB1679">
      <w:pPr>
        <w:widowControl w:val="0"/>
        <w:numPr>
          <w:ilvl w:val="0"/>
          <w:numId w:val="9"/>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Del recurso extraordinario de revisión contra laudos arbitrales que versen sobre asuntos de naturaleza agraria y rural, de conformidad con el régimen establecido para el efecto, cuya competencia no corresponda al Consejo de Estado, en concordancia con lo dispuesto en el artículo 46 de la Ley 1563 de 2012.</w:t>
      </w:r>
    </w:p>
    <w:p w14:paraId="3AC87CFD" w14:textId="77777777" w:rsidR="00CB1679" w:rsidRPr="00CD7B09" w:rsidRDefault="00CB1679" w:rsidP="00CB1679">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Century Gothic" w:eastAsia="Garamond" w:hAnsi="Century Gothic" w:cs="Garamond"/>
          <w:sz w:val="22"/>
          <w:szCs w:val="22"/>
        </w:rPr>
      </w:pPr>
    </w:p>
    <w:p w14:paraId="386FD18C" w14:textId="77777777" w:rsidR="00CB1679" w:rsidRPr="00CD7B09" w:rsidRDefault="00CB1679" w:rsidP="00CB1679">
      <w:pPr>
        <w:widowControl w:val="0"/>
        <w:numPr>
          <w:ilvl w:val="0"/>
          <w:numId w:val="9"/>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las peticiones de cambio de radicación de un proceso o actuación de carácter agrario y rural tramitados por las Salas Agrarias y Rurales de los Tribunales Superiores de Distrito Judicial y los Jueces Agrarios y Rurales.</w:t>
      </w:r>
    </w:p>
    <w:p w14:paraId="34C6C752" w14:textId="77777777" w:rsidR="00CB1679" w:rsidRPr="00CD7B09" w:rsidRDefault="00CB1679" w:rsidP="00CB1679">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Century Gothic" w:eastAsia="Garamond" w:hAnsi="Century Gothic" w:cs="Garamond"/>
          <w:sz w:val="22"/>
          <w:szCs w:val="22"/>
        </w:rPr>
      </w:pPr>
    </w:p>
    <w:p w14:paraId="48D95800" w14:textId="77777777" w:rsidR="00CB1679" w:rsidRPr="00CD7B09" w:rsidRDefault="00CB1679" w:rsidP="00CB1679">
      <w:pPr>
        <w:widowControl w:val="0"/>
        <w:numPr>
          <w:ilvl w:val="0"/>
          <w:numId w:val="9"/>
        </w:numPr>
        <w:pBdr>
          <w:top w:val="nil"/>
          <w:left w:val="nil"/>
          <w:bottom w:val="nil"/>
          <w:right w:val="nil"/>
          <w:between w:val="nil"/>
        </w:pBdr>
        <w:ind w:right="49"/>
        <w:rPr>
          <w:rFonts w:ascii="Century Gothic" w:eastAsia="Garamond" w:hAnsi="Century Gothic" w:cs="Garamond"/>
          <w:sz w:val="22"/>
          <w:szCs w:val="22"/>
        </w:rPr>
      </w:pPr>
      <w:r w:rsidRPr="00CD7B09">
        <w:rPr>
          <w:rFonts w:ascii="Century Gothic" w:eastAsia="Garamond" w:hAnsi="Century Gothic" w:cs="Garamond"/>
          <w:sz w:val="22"/>
          <w:szCs w:val="22"/>
        </w:rPr>
        <w:t>Los demás que les atribuya la Ley.</w:t>
      </w:r>
    </w:p>
    <w:p w14:paraId="5511CF37"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27475B4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39. </w:t>
      </w:r>
      <w:r w:rsidRPr="00CD7B09">
        <w:rPr>
          <w:rFonts w:ascii="Century Gothic" w:eastAsia="Garamond" w:hAnsi="Century Gothic" w:cs="Garamond"/>
          <w:sz w:val="22"/>
          <w:szCs w:val="22"/>
        </w:rPr>
        <w:t>Adiciónese el artículo 32A a la Ley 1564 de 2012, el cual quedará así:</w:t>
      </w:r>
    </w:p>
    <w:p w14:paraId="77868F8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003C55B5"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32A. Competencia de las salas agrarias y rurales de los tribunales superiores de distrito judicial. </w:t>
      </w:r>
      <w:r w:rsidRPr="00CD7B09">
        <w:rPr>
          <w:rFonts w:ascii="Century Gothic" w:eastAsia="Garamond" w:hAnsi="Century Gothic" w:cs="Garamond"/>
          <w:sz w:val="22"/>
          <w:szCs w:val="22"/>
        </w:rPr>
        <w:t>Los tribunales superiores de distrito judicial conocen, en sala agraria y rural:</w:t>
      </w:r>
    </w:p>
    <w:p w14:paraId="25B0AE6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061ED733" w14:textId="77777777" w:rsidR="00CB1679" w:rsidRPr="00CD7B09" w:rsidRDefault="00CB1679" w:rsidP="00CB1679">
      <w:pPr>
        <w:widowControl w:val="0"/>
        <w:numPr>
          <w:ilvl w:val="0"/>
          <w:numId w:val="11"/>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la segunda instancia de los procesos que conocen en primera instancia los Jueces Agrarios y Rurales.</w:t>
      </w:r>
    </w:p>
    <w:p w14:paraId="6832691C" w14:textId="77777777" w:rsidR="00CB1679" w:rsidRPr="00CD7B09" w:rsidRDefault="00CB1679" w:rsidP="00CB1679">
      <w:pPr>
        <w:widowControl w:val="0"/>
        <w:pBdr>
          <w:top w:val="nil"/>
          <w:left w:val="nil"/>
          <w:bottom w:val="nil"/>
          <w:right w:val="nil"/>
          <w:between w:val="nil"/>
        </w:pBdr>
        <w:ind w:left="819" w:right="49"/>
        <w:jc w:val="both"/>
        <w:rPr>
          <w:rFonts w:ascii="Century Gothic" w:eastAsia="Garamond" w:hAnsi="Century Gothic" w:cs="Garamond"/>
          <w:sz w:val="22"/>
          <w:szCs w:val="22"/>
        </w:rPr>
      </w:pPr>
    </w:p>
    <w:p w14:paraId="70F7501A" w14:textId="77777777" w:rsidR="00CB1679" w:rsidRPr="00CD7B09" w:rsidRDefault="00CB1679" w:rsidP="00CB1679">
      <w:pPr>
        <w:widowControl w:val="0"/>
        <w:numPr>
          <w:ilvl w:val="0"/>
          <w:numId w:val="11"/>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Del recurso de queja contra los autos que nieguen la apelación contra las providencias proferidas por los Jueces Agrarios y Rurales en primera instancia.</w:t>
      </w:r>
    </w:p>
    <w:p w14:paraId="5AC8FC17" w14:textId="77777777" w:rsidR="00CB1679" w:rsidRPr="00CD7B09" w:rsidRDefault="00CB1679" w:rsidP="00CB1679">
      <w:pPr>
        <w:widowControl w:val="0"/>
        <w:pBdr>
          <w:top w:val="nil"/>
          <w:left w:val="nil"/>
          <w:bottom w:val="nil"/>
          <w:right w:val="nil"/>
          <w:between w:val="nil"/>
        </w:pBdr>
        <w:ind w:left="819" w:right="49"/>
        <w:jc w:val="both"/>
        <w:rPr>
          <w:rFonts w:ascii="Century Gothic" w:eastAsia="Garamond" w:hAnsi="Century Gothic" w:cs="Garamond"/>
          <w:sz w:val="22"/>
          <w:szCs w:val="22"/>
        </w:rPr>
      </w:pPr>
    </w:p>
    <w:p w14:paraId="6B7BE7ED" w14:textId="77777777" w:rsidR="00CB1679" w:rsidRPr="00CD7B09" w:rsidRDefault="00CB1679" w:rsidP="00CB1679">
      <w:pPr>
        <w:widowControl w:val="0"/>
        <w:numPr>
          <w:ilvl w:val="0"/>
          <w:numId w:val="11"/>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En única instancia, de la aprobación de los acuerdos de conciliación sobre asuntos agrarios y rurales sin cuantía y de mayor cuantía de competencia de la jurisdicción ordinaria.</w:t>
      </w:r>
    </w:p>
    <w:p w14:paraId="0B7D6CAE" w14:textId="77777777" w:rsidR="00CB1679" w:rsidRPr="00CD7B09" w:rsidRDefault="00CB1679" w:rsidP="00CB1679">
      <w:pPr>
        <w:widowControl w:val="0"/>
        <w:pBdr>
          <w:top w:val="nil"/>
          <w:left w:val="nil"/>
          <w:bottom w:val="nil"/>
          <w:right w:val="nil"/>
          <w:between w:val="nil"/>
        </w:pBdr>
        <w:ind w:left="819" w:right="49"/>
        <w:jc w:val="both"/>
        <w:rPr>
          <w:rFonts w:ascii="Century Gothic" w:eastAsia="Garamond" w:hAnsi="Century Gothic" w:cs="Garamond"/>
          <w:sz w:val="22"/>
          <w:szCs w:val="22"/>
        </w:rPr>
      </w:pPr>
    </w:p>
    <w:p w14:paraId="65BF132B" w14:textId="77777777" w:rsidR="00CB1679" w:rsidRPr="00CD7B09" w:rsidRDefault="00CB1679" w:rsidP="00CB1679">
      <w:pPr>
        <w:widowControl w:val="0"/>
        <w:numPr>
          <w:ilvl w:val="0"/>
          <w:numId w:val="11"/>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En única instancia, del recurso de anulación de laudos arbitrales que versen sobre temas agrarios y rurales, cuya competencia no corresponda al Consejo de Estado, en los términos del artículo 46 de la Ley 1563 de 2012.</w:t>
      </w:r>
    </w:p>
    <w:p w14:paraId="6E4F4F28" w14:textId="77777777" w:rsidR="00CB1679" w:rsidRPr="00CD7B09" w:rsidRDefault="00CB1679" w:rsidP="00CB1679">
      <w:pPr>
        <w:widowControl w:val="0"/>
        <w:pBdr>
          <w:top w:val="nil"/>
          <w:left w:val="nil"/>
          <w:bottom w:val="nil"/>
          <w:right w:val="nil"/>
          <w:between w:val="nil"/>
        </w:pBdr>
        <w:ind w:left="819" w:right="49"/>
        <w:jc w:val="both"/>
        <w:rPr>
          <w:rFonts w:ascii="Century Gothic" w:eastAsia="Garamond" w:hAnsi="Century Gothic" w:cs="Garamond"/>
          <w:sz w:val="22"/>
          <w:szCs w:val="22"/>
        </w:rPr>
      </w:pPr>
    </w:p>
    <w:p w14:paraId="739C9901" w14:textId="77777777" w:rsidR="00CB1679" w:rsidRPr="00CD7B09" w:rsidRDefault="00CB1679" w:rsidP="00CB1679">
      <w:pPr>
        <w:widowControl w:val="0"/>
        <w:numPr>
          <w:ilvl w:val="0"/>
          <w:numId w:val="11"/>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las peticiones de cambio de radicación de un proceso o actuación, que implique su remisión al interior de un mismo distrito judicial, de conformidad con lo previsto en el numeral 8 del artículo 30.</w:t>
      </w:r>
    </w:p>
    <w:p w14:paraId="59A6B5B8" w14:textId="77777777" w:rsidR="00CB1679" w:rsidRPr="00CD7B09" w:rsidRDefault="00CB1679" w:rsidP="00CB1679">
      <w:pPr>
        <w:widowControl w:val="0"/>
        <w:pBdr>
          <w:top w:val="nil"/>
          <w:left w:val="nil"/>
          <w:bottom w:val="nil"/>
          <w:right w:val="nil"/>
          <w:between w:val="nil"/>
        </w:pBdr>
        <w:ind w:left="819" w:right="49"/>
        <w:jc w:val="both"/>
        <w:rPr>
          <w:rFonts w:ascii="Century Gothic" w:eastAsia="Garamond" w:hAnsi="Century Gothic" w:cs="Garamond"/>
          <w:sz w:val="22"/>
          <w:szCs w:val="22"/>
        </w:rPr>
      </w:pPr>
    </w:p>
    <w:p w14:paraId="6B964582" w14:textId="77777777" w:rsidR="00CB1679" w:rsidRPr="00CD7B09" w:rsidRDefault="00CB1679" w:rsidP="00CB1679">
      <w:pPr>
        <w:widowControl w:val="0"/>
        <w:numPr>
          <w:ilvl w:val="0"/>
          <w:numId w:val="11"/>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los demás asuntos agrarios y rurales que les asigne la ley.</w:t>
      </w:r>
    </w:p>
    <w:p w14:paraId="7EF57B1E"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2A812782" w14:textId="77777777" w:rsidR="00CB1679" w:rsidRPr="00CD7B09" w:rsidRDefault="00CB1679" w:rsidP="00CB1679">
      <w:pPr>
        <w:ind w:right="49"/>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40. </w:t>
      </w:r>
      <w:r w:rsidRPr="00CD7B09">
        <w:rPr>
          <w:rFonts w:ascii="Century Gothic" w:eastAsia="Garamond" w:hAnsi="Century Gothic" w:cs="Garamond"/>
          <w:sz w:val="22"/>
          <w:szCs w:val="22"/>
        </w:rPr>
        <w:t>Modifíquese el inciso primero del artículo 17 de la Ley 1564 de 2012, el cual quedará así:</w:t>
      </w:r>
    </w:p>
    <w:p w14:paraId="37D57893" w14:textId="77777777" w:rsidR="00CB1679" w:rsidRPr="00CD7B09" w:rsidRDefault="00CB1679" w:rsidP="00CB1679">
      <w:pPr>
        <w:ind w:right="49"/>
        <w:rPr>
          <w:rFonts w:ascii="Century Gothic" w:eastAsia="Garamond" w:hAnsi="Century Gothic" w:cs="Garamond"/>
          <w:sz w:val="22"/>
          <w:szCs w:val="22"/>
        </w:rPr>
      </w:pPr>
    </w:p>
    <w:p w14:paraId="137F6AC9" w14:textId="77777777" w:rsidR="00CB1679" w:rsidRPr="00CD7B09" w:rsidRDefault="00CB1679" w:rsidP="00CB1679">
      <w:pPr>
        <w:ind w:left="708" w:right="49"/>
        <w:rPr>
          <w:rFonts w:ascii="Century Gothic" w:eastAsia="Garamond" w:hAnsi="Century Gothic" w:cs="Garamond"/>
          <w:sz w:val="22"/>
          <w:szCs w:val="22"/>
        </w:rPr>
      </w:pPr>
      <w:r w:rsidRPr="00CD7B09">
        <w:rPr>
          <w:rFonts w:ascii="Century Gothic" w:eastAsia="Garamond" w:hAnsi="Century Gothic" w:cs="Garamond"/>
          <w:sz w:val="22"/>
          <w:szCs w:val="22"/>
        </w:rPr>
        <w:t>Artículo 17. Competencia de los jueces civiles, agrarios y rurales municipales en única instancia. Los jueces civiles municipales conocen en única instancia:</w:t>
      </w:r>
    </w:p>
    <w:p w14:paraId="1A304A28" w14:textId="77777777" w:rsidR="00CB1679" w:rsidRPr="00CD7B09" w:rsidRDefault="00CB1679" w:rsidP="00CB1679">
      <w:pPr>
        <w:ind w:left="708" w:right="49"/>
        <w:jc w:val="both"/>
        <w:rPr>
          <w:rFonts w:ascii="Century Gothic" w:eastAsia="Garamond" w:hAnsi="Century Gothic" w:cs="Garamond"/>
          <w:sz w:val="22"/>
          <w:szCs w:val="22"/>
        </w:rPr>
      </w:pPr>
    </w:p>
    <w:p w14:paraId="4999AFA8" w14:textId="77777777" w:rsidR="00CB1679" w:rsidRPr="00CD7B09" w:rsidRDefault="00CB1679" w:rsidP="00CB1679">
      <w:pPr>
        <w:ind w:left="708" w:right="49"/>
        <w:jc w:val="both"/>
        <w:rPr>
          <w:rFonts w:ascii="Century Gothic" w:eastAsia="Garamond" w:hAnsi="Century Gothic" w:cs="Garamond"/>
          <w:sz w:val="22"/>
          <w:szCs w:val="22"/>
        </w:rPr>
      </w:pPr>
      <w:r w:rsidRPr="00CD7B09">
        <w:rPr>
          <w:rFonts w:ascii="Century Gothic" w:eastAsia="Garamond" w:hAnsi="Century Gothic" w:cs="Garamond"/>
          <w:sz w:val="22"/>
          <w:szCs w:val="22"/>
        </w:rPr>
        <w:t>1. De los procesos contenciosos de mínima cuantía, incluso los originados en virtud de la acción agraria, salvo los que correspondan a la jurisdicción contencioso administrativa.</w:t>
      </w:r>
    </w:p>
    <w:p w14:paraId="27F492AE" w14:textId="77777777" w:rsidR="00CB1679" w:rsidRPr="00CD7B09" w:rsidRDefault="00CB1679" w:rsidP="00CB1679">
      <w:pPr>
        <w:ind w:left="708" w:right="49"/>
        <w:jc w:val="both"/>
        <w:rPr>
          <w:rFonts w:ascii="Century Gothic" w:eastAsia="Garamond" w:hAnsi="Century Gothic" w:cs="Garamond"/>
          <w:sz w:val="22"/>
          <w:szCs w:val="22"/>
        </w:rPr>
      </w:pPr>
    </w:p>
    <w:p w14:paraId="6CABDE19" w14:textId="77777777" w:rsidR="00CB1679" w:rsidRPr="00CD7B09" w:rsidRDefault="00CB1679" w:rsidP="00CB1679">
      <w:pPr>
        <w:ind w:left="708" w:right="49"/>
        <w:jc w:val="both"/>
        <w:rPr>
          <w:rFonts w:ascii="Century Gothic" w:eastAsia="Garamond" w:hAnsi="Century Gothic" w:cs="Garamond"/>
          <w:sz w:val="22"/>
          <w:szCs w:val="22"/>
        </w:rPr>
      </w:pPr>
      <w:r w:rsidRPr="00CD7B09">
        <w:rPr>
          <w:rFonts w:ascii="Century Gothic" w:eastAsia="Garamond" w:hAnsi="Century Gothic" w:cs="Garamond"/>
          <w:sz w:val="22"/>
          <w:szCs w:val="22"/>
        </w:rPr>
        <w:t>También conocerán de los procesos contenciosos de mínima cuantía por responsabilidad médica, de cualquier naturaleza y origen, sin consideración a las partes, salvo los que correspondan a la jurisdicción contencioso administrativa.</w:t>
      </w:r>
    </w:p>
    <w:p w14:paraId="18744A7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4059619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r w:rsidRPr="00CD7B09">
        <w:rPr>
          <w:rFonts w:ascii="Century Gothic" w:eastAsia="Garamond" w:hAnsi="Century Gothic" w:cs="Garamond"/>
          <w:b/>
          <w:sz w:val="22"/>
          <w:szCs w:val="22"/>
        </w:rPr>
        <w:t>Artículo 41.</w:t>
      </w:r>
      <w:r w:rsidRPr="00CD7B09">
        <w:rPr>
          <w:rFonts w:ascii="Century Gothic" w:eastAsia="Garamond" w:hAnsi="Century Gothic" w:cs="Garamond"/>
          <w:sz w:val="22"/>
          <w:szCs w:val="22"/>
        </w:rPr>
        <w:t xml:space="preserve"> Modifíquese el inciso primero del artículo 18 de la Ley 1564 de 2012, el cual quedará así: </w:t>
      </w:r>
    </w:p>
    <w:p w14:paraId="4000C33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784D7F5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9"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Artículo 18. Competencia de los jueces civiles, agrarios y rurales municipales en primera instancia. Los jueces civiles, agrarios y rurales municipales conocen en primera instancia:</w:t>
      </w:r>
    </w:p>
    <w:p w14:paraId="501A806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9" w:right="49"/>
        <w:jc w:val="both"/>
        <w:rPr>
          <w:rFonts w:ascii="Century Gothic" w:eastAsia="Garamond" w:hAnsi="Century Gothic" w:cs="Garamond"/>
          <w:sz w:val="22"/>
          <w:szCs w:val="22"/>
        </w:rPr>
      </w:pPr>
    </w:p>
    <w:p w14:paraId="23BC9C9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9" w:right="49"/>
        <w:jc w:val="both"/>
        <w:rPr>
          <w:rFonts w:ascii="Century Gothic" w:eastAsia="Garamond" w:hAnsi="Century Gothic" w:cs="Garamond"/>
          <w:sz w:val="22"/>
          <w:szCs w:val="22"/>
        </w:rPr>
      </w:pPr>
      <w:r w:rsidRPr="00CD7B09">
        <w:rPr>
          <w:rFonts w:ascii="Century Gothic" w:eastAsia="Garamond" w:hAnsi="Century Gothic" w:cs="Garamond"/>
          <w:sz w:val="22"/>
          <w:szCs w:val="22"/>
        </w:rPr>
        <w:t>1. De los procesos contenciosos de menor cuantía, incluso los originados en virtud de la acción agraria, salvo los que correspondan a la jurisdicción contencioso administrativa.</w:t>
      </w:r>
    </w:p>
    <w:p w14:paraId="15D087B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9" w:right="49"/>
        <w:jc w:val="both"/>
        <w:rPr>
          <w:rFonts w:ascii="Century Gothic" w:eastAsia="Garamond" w:hAnsi="Century Gothic" w:cs="Garamond"/>
          <w:sz w:val="22"/>
          <w:szCs w:val="22"/>
        </w:rPr>
      </w:pPr>
    </w:p>
    <w:p w14:paraId="7BF3C4D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9" w:right="49"/>
        <w:jc w:val="both"/>
        <w:rPr>
          <w:rFonts w:ascii="Century Gothic" w:eastAsia="Garamond" w:hAnsi="Century Gothic" w:cs="Garamond"/>
          <w:sz w:val="22"/>
          <w:szCs w:val="22"/>
        </w:rPr>
      </w:pPr>
      <w:r w:rsidRPr="00CD7B09">
        <w:rPr>
          <w:rFonts w:ascii="Century Gothic" w:eastAsia="Garamond" w:hAnsi="Century Gothic" w:cs="Garamond"/>
          <w:sz w:val="22"/>
          <w:szCs w:val="22"/>
        </w:rPr>
        <w:t>También conocerán de los procesos contenciosos de menor cuantía por responsabilidad médica, de cualquier naturaleza y origen, sin consideración a las partes, salvo los que correspondan a la jurisdicción contencioso administrativa.</w:t>
      </w:r>
    </w:p>
    <w:p w14:paraId="51D4010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4D38C3A9"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42. </w:t>
      </w:r>
      <w:r w:rsidRPr="00CD7B09">
        <w:rPr>
          <w:rFonts w:ascii="Century Gothic" w:eastAsia="Garamond" w:hAnsi="Century Gothic" w:cs="Garamond"/>
          <w:sz w:val="22"/>
          <w:szCs w:val="22"/>
        </w:rPr>
        <w:t xml:space="preserve">Adiciónese el artículo 22B a la Ley 1564 de 2012, el cual quedará así: </w:t>
      </w:r>
    </w:p>
    <w:p w14:paraId="15B6FADF"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27C2F3A3"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Artículo 22B. Competencia de los jueces agrarios y rurales en primera instancia.</w:t>
      </w:r>
    </w:p>
    <w:p w14:paraId="7D0977A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6F40076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Los jueces agrarios y rurales del circuito conocerán, en primera instancia, de los siguientes asuntos:</w:t>
      </w:r>
    </w:p>
    <w:p w14:paraId="0669BEA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21C32532" w14:textId="77777777" w:rsidR="00CB1679" w:rsidRPr="00CD7B09" w:rsidRDefault="00CB1679" w:rsidP="00CB1679">
      <w:pPr>
        <w:widowControl w:val="0"/>
        <w:numPr>
          <w:ilvl w:val="0"/>
          <w:numId w:val="21"/>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los asuntos contenciosos agrarios y rurales de mayor cuantía de competencia de la jurisdicción ordinaria.</w:t>
      </w:r>
    </w:p>
    <w:p w14:paraId="5676A88F" w14:textId="77777777" w:rsidR="00CB1679" w:rsidRPr="00CD7B09" w:rsidRDefault="00CB1679" w:rsidP="00CB1679">
      <w:pPr>
        <w:widowControl w:val="0"/>
        <w:pBdr>
          <w:top w:val="nil"/>
          <w:left w:val="nil"/>
          <w:bottom w:val="nil"/>
          <w:right w:val="nil"/>
          <w:between w:val="nil"/>
        </w:pBdr>
        <w:ind w:left="819" w:right="49"/>
        <w:jc w:val="both"/>
        <w:rPr>
          <w:rFonts w:ascii="Century Gothic" w:eastAsia="Garamond" w:hAnsi="Century Gothic" w:cs="Garamond"/>
          <w:sz w:val="22"/>
          <w:szCs w:val="22"/>
        </w:rPr>
      </w:pPr>
    </w:p>
    <w:p w14:paraId="212D5509" w14:textId="77777777" w:rsidR="00CB1679" w:rsidRPr="00CD7B09" w:rsidRDefault="00CB1679" w:rsidP="00CB1679">
      <w:pPr>
        <w:widowControl w:val="0"/>
        <w:numPr>
          <w:ilvl w:val="0"/>
          <w:numId w:val="21"/>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las acciones de grupo entre particulares, siempre que la controversia sea de carácter agrario y rural.</w:t>
      </w:r>
    </w:p>
    <w:p w14:paraId="63240100" w14:textId="77777777" w:rsidR="00CB1679" w:rsidRPr="00CD7B09" w:rsidRDefault="00CB1679" w:rsidP="00CB1679">
      <w:pPr>
        <w:widowControl w:val="0"/>
        <w:pBdr>
          <w:top w:val="nil"/>
          <w:left w:val="nil"/>
          <w:bottom w:val="nil"/>
          <w:right w:val="nil"/>
          <w:between w:val="nil"/>
        </w:pBdr>
        <w:ind w:left="819" w:right="49"/>
        <w:jc w:val="both"/>
        <w:rPr>
          <w:rFonts w:ascii="Century Gothic" w:eastAsia="Garamond" w:hAnsi="Century Gothic" w:cs="Garamond"/>
          <w:sz w:val="22"/>
          <w:szCs w:val="22"/>
        </w:rPr>
      </w:pPr>
    </w:p>
    <w:p w14:paraId="774748D2" w14:textId="77777777" w:rsidR="00CB1679" w:rsidRPr="00CD7B09" w:rsidRDefault="00CB1679" w:rsidP="00CB1679">
      <w:pPr>
        <w:widowControl w:val="0"/>
        <w:numPr>
          <w:ilvl w:val="0"/>
          <w:numId w:val="21"/>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 todos los demás asuntos agrarios y rurales susceptibles de conocimiento por la jurisdicción ordinaria para los cuales no exista regla especial de competencia.</w:t>
      </w:r>
    </w:p>
    <w:p w14:paraId="04C188BE" w14:textId="77777777" w:rsidR="00CB1679" w:rsidRPr="00CD7B09" w:rsidRDefault="00CB1679" w:rsidP="00CB1679">
      <w:pPr>
        <w:widowControl w:val="0"/>
        <w:pBdr>
          <w:top w:val="nil"/>
          <w:left w:val="nil"/>
          <w:bottom w:val="nil"/>
          <w:right w:val="nil"/>
          <w:between w:val="nil"/>
        </w:pBdr>
        <w:ind w:left="819" w:right="49"/>
        <w:jc w:val="both"/>
        <w:rPr>
          <w:rFonts w:ascii="Century Gothic" w:eastAsia="Garamond" w:hAnsi="Century Gothic" w:cs="Garamond"/>
          <w:sz w:val="22"/>
          <w:szCs w:val="22"/>
        </w:rPr>
      </w:pPr>
    </w:p>
    <w:p w14:paraId="0FA79C98" w14:textId="77777777" w:rsidR="00CB1679" w:rsidRPr="00CD7B09" w:rsidRDefault="00CB1679" w:rsidP="00CB1679">
      <w:pPr>
        <w:widowControl w:val="0"/>
        <w:numPr>
          <w:ilvl w:val="0"/>
          <w:numId w:val="21"/>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Los demás que les atribuya la Ley.</w:t>
      </w:r>
    </w:p>
    <w:p w14:paraId="2C2F3635" w14:textId="77777777" w:rsidR="00CB1679" w:rsidRPr="00CD7B09" w:rsidRDefault="00CB1679" w:rsidP="00CB1679">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hanging="360"/>
        <w:jc w:val="both"/>
        <w:rPr>
          <w:rFonts w:ascii="Century Gothic" w:eastAsia="Garamond" w:hAnsi="Century Gothic" w:cs="Garamond"/>
          <w:sz w:val="22"/>
          <w:szCs w:val="22"/>
        </w:rPr>
      </w:pPr>
    </w:p>
    <w:p w14:paraId="2A3F5191" w14:textId="77777777" w:rsidR="00CB1679" w:rsidRPr="00CD7B09" w:rsidRDefault="00CB1679" w:rsidP="00CB1679">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CAPÍTULO IV</w:t>
      </w:r>
    </w:p>
    <w:p w14:paraId="5A28F7FF" w14:textId="77777777" w:rsidR="00CB1679" w:rsidRPr="00CD7B09" w:rsidRDefault="00CB1679" w:rsidP="00CB1679">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 xml:space="preserve">FACTORES Y CONFLICTOS DE COMPETENCIA </w:t>
      </w:r>
    </w:p>
    <w:p w14:paraId="70BEE70C"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66B2A96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43. Determinación de competencias. </w:t>
      </w:r>
      <w:r w:rsidRPr="00CD7B09">
        <w:rPr>
          <w:rFonts w:ascii="Century Gothic" w:eastAsia="Garamond" w:hAnsi="Century Gothic" w:cs="Garamond"/>
          <w:sz w:val="22"/>
          <w:szCs w:val="22"/>
        </w:rPr>
        <w:t>Para la determinación de competencias se seguirán las reglas establecidas en la Ley 1564 de 2012 y la Ley 1437 de 2011, o la que haga sus veces, según la jurisdicción en la que se tramite el asunto, a excepción de la competencia por razón del territorio que seguirá las reglas establecidas en el siguiente artículo.</w:t>
      </w:r>
    </w:p>
    <w:p w14:paraId="6F199993"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44258F58" w14:textId="77777777" w:rsidR="00CB1679" w:rsidRPr="00CD7B09" w:rsidRDefault="00CB1679" w:rsidP="00CB1679">
      <w:pPr>
        <w:widowControl w:val="0"/>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44. Competencia territorial. </w:t>
      </w:r>
      <w:r w:rsidRPr="00CD7B09">
        <w:rPr>
          <w:rFonts w:ascii="Century Gothic" w:eastAsia="Garamond" w:hAnsi="Century Gothic" w:cs="Garamond"/>
          <w:sz w:val="22"/>
          <w:szCs w:val="22"/>
        </w:rPr>
        <w:t>En todos los procesos agrarios y rurales de que trata la presente ley será competente de manera privativa el juez del lugar donde se hallen ubicados los bienes, y si estos se encuentran en un territorio abarcado por dos o más municipios o circuitos judiciales, será competente el juez de cualquiera de ellos a elección del demandante. Cuando el objeto de la controversia no recaiga sobre un bien inmueble, la competencia se determinará por el domicilio del demandante.</w:t>
      </w:r>
    </w:p>
    <w:p w14:paraId="6FF8EF05" w14:textId="77777777" w:rsidR="00CB1679" w:rsidRPr="00CD7B09" w:rsidRDefault="00CB1679" w:rsidP="00CB1679">
      <w:pPr>
        <w:widowControl w:val="0"/>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Cuando fueren varios los jueces o tribunales competentes para conocer del asunto de acuerdo con las reglas previstas en este artículo, conocerá a prevención el juez o tribunal ante el cual se hubiere presentado primero la demanda, de preferencia el más cercano.</w:t>
      </w:r>
    </w:p>
    <w:p w14:paraId="3BF67AAB" w14:textId="77777777" w:rsidR="00CB1679" w:rsidRPr="00CD7B09" w:rsidRDefault="00CB1679" w:rsidP="00CB1679">
      <w:pPr>
        <w:widowControl w:val="0"/>
        <w:pBdr>
          <w:top w:val="nil"/>
          <w:left w:val="nil"/>
          <w:bottom w:val="nil"/>
          <w:right w:val="nil"/>
          <w:between w:val="nil"/>
        </w:pBdr>
        <w:rPr>
          <w:rFonts w:ascii="Century Gothic" w:eastAsia="Garamond" w:hAnsi="Century Gothic" w:cs="Garamond"/>
          <w:sz w:val="22"/>
          <w:szCs w:val="22"/>
        </w:rPr>
      </w:pPr>
    </w:p>
    <w:p w14:paraId="79CCC2AA"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45. Conflictos de competencia. </w:t>
      </w:r>
      <w:r w:rsidRPr="00CD7B09">
        <w:rPr>
          <w:rFonts w:ascii="Century Gothic" w:eastAsia="Garamond" w:hAnsi="Century Gothic" w:cs="Garamond"/>
          <w:sz w:val="22"/>
          <w:szCs w:val="22"/>
        </w:rPr>
        <w:t>Los conflictos de competencia que surjan con ocasión del proceso agrario y rural dispuesto en esta ley se resolverán de la siguiente forma:</w:t>
      </w:r>
    </w:p>
    <w:p w14:paraId="3F54FE13"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3AA404BB" w14:textId="77777777" w:rsidR="00CB1679" w:rsidRPr="00CD7B09" w:rsidRDefault="00CB1679" w:rsidP="00CB1679">
      <w:pPr>
        <w:numPr>
          <w:ilvl w:val="0"/>
          <w:numId w:val="22"/>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Los conflictos de competencia en la jurisdicción de lo contencioso administrativo se resolverán de conformidad con las reglas establecidas en el artículo 158 de la Ley 1437 de 2011, o la disposición que haga sus veces. </w:t>
      </w:r>
    </w:p>
    <w:p w14:paraId="41564E01" w14:textId="77777777" w:rsidR="00CB1679" w:rsidRPr="00CD7B09" w:rsidRDefault="00CB1679" w:rsidP="00CB1679">
      <w:pPr>
        <w:numPr>
          <w:ilvl w:val="0"/>
          <w:numId w:val="22"/>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Los conflictos de competencia entre Salas Agrarias y Rurales de los Tribunales Superiores de Distrito Judicial y entre éstas y los jueces agrarios y rurales de diferentes distritos judiciales serán decididos por la Sala de Casación Civil, Agraria y Rural de la Corte Suprema de Justicia.</w:t>
      </w:r>
    </w:p>
    <w:p w14:paraId="26FB4E9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1201A7C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Si el conflicto se presenta entre jueces agrarios y rurales de un mismo distrito judicial, será decidido por la Sala Agraria y Rural del Tribunal Superior respectivo. </w:t>
      </w:r>
    </w:p>
    <w:p w14:paraId="648D6ED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20E295F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Para el trámite del conflicto de competencia en la jurisdicción ordinaria se aplicarán las normas del Código General del Proceso o la ley que haga sus veces, siempre que sean compatibles con el proceso agrario y rural que esta ley establece. </w:t>
      </w:r>
    </w:p>
    <w:p w14:paraId="2F9ECB8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79F24AA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5F28239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CAPÍTULO V</w:t>
      </w:r>
    </w:p>
    <w:p w14:paraId="21E9659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 xml:space="preserve">Proceso agrario y rural en la especialidad ordinaria </w:t>
      </w:r>
    </w:p>
    <w:p w14:paraId="11EB2B9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p>
    <w:p w14:paraId="05F53D7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46. </w:t>
      </w:r>
      <w:r w:rsidRPr="00CD7B09">
        <w:rPr>
          <w:rFonts w:ascii="Century Gothic" w:eastAsia="Garamond" w:hAnsi="Century Gothic" w:cs="Garamond"/>
          <w:sz w:val="22"/>
          <w:szCs w:val="22"/>
        </w:rPr>
        <w:t>Adiciónese el Capítulo V al Título III de la Sección Primera del Libro Tercero de la Ley 1564 de 2012, el cual quedará así:</w:t>
      </w:r>
    </w:p>
    <w:p w14:paraId="2C43DBB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4251D5E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sz w:val="22"/>
          <w:szCs w:val="22"/>
        </w:rPr>
      </w:pPr>
      <w:r w:rsidRPr="00CD7B09">
        <w:rPr>
          <w:rFonts w:ascii="Century Gothic" w:eastAsia="Garamond" w:hAnsi="Century Gothic" w:cs="Garamond"/>
          <w:sz w:val="22"/>
          <w:szCs w:val="22"/>
        </w:rPr>
        <w:t xml:space="preserve">CAPÍTULO V </w:t>
      </w:r>
    </w:p>
    <w:p w14:paraId="5886C1A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sz w:val="22"/>
          <w:szCs w:val="22"/>
        </w:rPr>
      </w:pPr>
      <w:r w:rsidRPr="00CD7B09">
        <w:rPr>
          <w:rFonts w:ascii="Century Gothic" w:eastAsia="Garamond" w:hAnsi="Century Gothic" w:cs="Garamond"/>
          <w:sz w:val="22"/>
          <w:szCs w:val="22"/>
        </w:rPr>
        <w:t>Proceso agrario y rural</w:t>
      </w:r>
    </w:p>
    <w:p w14:paraId="44BFDDE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sz w:val="22"/>
          <w:szCs w:val="22"/>
        </w:rPr>
      </w:pPr>
    </w:p>
    <w:p w14:paraId="0FB02C7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sz w:val="22"/>
          <w:szCs w:val="22"/>
        </w:rPr>
      </w:pPr>
      <w:r w:rsidRPr="00CD7B09">
        <w:rPr>
          <w:rFonts w:ascii="Century Gothic" w:eastAsia="Garamond" w:hAnsi="Century Gothic" w:cs="Garamond"/>
          <w:sz w:val="22"/>
          <w:szCs w:val="22"/>
        </w:rPr>
        <w:t>En lo no regulado en las disposiciones de este capítulo, aplicarán de manera general las normas establecidas en la Ley 1564 de 2012.</w:t>
      </w:r>
    </w:p>
    <w:p w14:paraId="74A7041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b/>
          <w:sz w:val="22"/>
          <w:szCs w:val="22"/>
        </w:rPr>
      </w:pPr>
    </w:p>
    <w:p w14:paraId="46548992" w14:textId="77777777" w:rsidR="00CB1679" w:rsidRPr="00CD7B09" w:rsidRDefault="00CB1679" w:rsidP="00CB1679">
      <w:pPr>
        <w:ind w:right="49"/>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47. </w:t>
      </w:r>
      <w:r w:rsidRPr="00CD7B09">
        <w:rPr>
          <w:rFonts w:ascii="Century Gothic" w:eastAsia="Garamond" w:hAnsi="Century Gothic" w:cs="Garamond"/>
          <w:sz w:val="22"/>
          <w:szCs w:val="22"/>
        </w:rPr>
        <w:t xml:space="preserve">Modifíquese el artículo 53 de la Ley 1564 de 2012, el cual quedará así: </w:t>
      </w:r>
    </w:p>
    <w:p w14:paraId="342E8E44" w14:textId="77777777" w:rsidR="00CB1679" w:rsidRPr="00CD7B09" w:rsidRDefault="00CB1679" w:rsidP="00CB1679">
      <w:pPr>
        <w:ind w:right="49"/>
        <w:rPr>
          <w:rFonts w:ascii="Century Gothic" w:eastAsia="Garamond" w:hAnsi="Century Gothic" w:cs="Garamond"/>
          <w:sz w:val="22"/>
          <w:szCs w:val="22"/>
        </w:rPr>
      </w:pPr>
      <w:r w:rsidRPr="00CD7B09">
        <w:rPr>
          <w:rFonts w:ascii="Century Gothic" w:eastAsia="Garamond" w:hAnsi="Century Gothic" w:cs="Garamond"/>
          <w:sz w:val="22"/>
          <w:szCs w:val="22"/>
        </w:rPr>
        <w:t>Artículo 53. Capacidad para ser parte. Podrán ser parte en un proceso:</w:t>
      </w:r>
    </w:p>
    <w:p w14:paraId="79149394" w14:textId="77777777" w:rsidR="00CB1679" w:rsidRPr="00CD7B09" w:rsidRDefault="00CB1679" w:rsidP="00CB1679">
      <w:pPr>
        <w:ind w:left="708" w:right="49"/>
        <w:rPr>
          <w:rFonts w:ascii="Century Gothic" w:eastAsia="Garamond" w:hAnsi="Century Gothic" w:cs="Garamond"/>
          <w:sz w:val="22"/>
          <w:szCs w:val="22"/>
        </w:rPr>
      </w:pPr>
      <w:r w:rsidRPr="00CD7B09">
        <w:rPr>
          <w:rFonts w:ascii="Century Gothic" w:eastAsia="Garamond" w:hAnsi="Century Gothic" w:cs="Garamond"/>
          <w:sz w:val="22"/>
          <w:szCs w:val="22"/>
        </w:rPr>
        <w:t>1.  Las personas naturales y jurídicas.</w:t>
      </w:r>
    </w:p>
    <w:p w14:paraId="256E7C8B" w14:textId="77777777" w:rsidR="00CB1679" w:rsidRPr="00CD7B09" w:rsidRDefault="00CB1679" w:rsidP="00CB1679">
      <w:pPr>
        <w:ind w:left="708" w:right="49"/>
        <w:rPr>
          <w:rFonts w:ascii="Century Gothic" w:eastAsia="Garamond" w:hAnsi="Century Gothic" w:cs="Garamond"/>
          <w:sz w:val="22"/>
          <w:szCs w:val="22"/>
        </w:rPr>
      </w:pPr>
      <w:r w:rsidRPr="00CD7B09">
        <w:rPr>
          <w:rFonts w:ascii="Century Gothic" w:eastAsia="Garamond" w:hAnsi="Century Gothic" w:cs="Garamond"/>
          <w:sz w:val="22"/>
          <w:szCs w:val="22"/>
        </w:rPr>
        <w:t>2.  Los patrimonios autónomos.</w:t>
      </w:r>
    </w:p>
    <w:p w14:paraId="1AACAA0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8" w:right="49"/>
        <w:jc w:val="both"/>
        <w:rPr>
          <w:rFonts w:ascii="Century Gothic" w:eastAsia="Garamond" w:hAnsi="Century Gothic" w:cs="Garamond"/>
          <w:sz w:val="22"/>
          <w:szCs w:val="22"/>
        </w:rPr>
      </w:pPr>
      <w:r w:rsidRPr="00CD7B09">
        <w:rPr>
          <w:rFonts w:ascii="Century Gothic" w:eastAsia="Garamond" w:hAnsi="Century Gothic" w:cs="Garamond"/>
          <w:sz w:val="22"/>
          <w:szCs w:val="22"/>
        </w:rPr>
        <w:t>3.  El concebido, para la defensa de sus derechos.</w:t>
      </w:r>
    </w:p>
    <w:p w14:paraId="6D02A31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8" w:right="49"/>
        <w:jc w:val="both"/>
        <w:rPr>
          <w:rFonts w:ascii="Century Gothic" w:eastAsia="Garamond" w:hAnsi="Century Gothic" w:cs="Garamond"/>
          <w:sz w:val="22"/>
          <w:szCs w:val="22"/>
        </w:rPr>
      </w:pPr>
      <w:r w:rsidRPr="00CD7B09">
        <w:rPr>
          <w:rFonts w:ascii="Century Gothic" w:eastAsia="Garamond" w:hAnsi="Century Gothic" w:cs="Garamond"/>
          <w:sz w:val="22"/>
          <w:szCs w:val="22"/>
        </w:rPr>
        <w:t>4.  Los demás que determine la ley.</w:t>
      </w:r>
    </w:p>
    <w:p w14:paraId="19382C3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8"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Parágrafo 1. Para el caso de la especialidad agraria y rural, podrá actuar la Defensoría del Pueblo en nombre de cualquier persona que se encuentre en condición de vulnerabilidad, sin perjuicio del derecho que les asiste a los interesados.</w:t>
      </w:r>
    </w:p>
    <w:p w14:paraId="1B05C32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8"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Parágrafo 2. En los procesos agrarios y rurales, podrán actuar como coadyuvantes en los procedimientos judiciales iniciados, las organizaciones sociales o comunitarias o de índole similar, en nombre de personas que se encuentren en situación de vulnerabilidad, siempre que medie poder para actuar y sin generar ningún tipo de cobro relacionado con honorarios.</w:t>
      </w:r>
    </w:p>
    <w:p w14:paraId="471C825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8" w:right="49"/>
        <w:jc w:val="both"/>
        <w:rPr>
          <w:rFonts w:ascii="Century Gothic" w:eastAsia="Garamond" w:hAnsi="Century Gothic" w:cs="Garamond"/>
          <w:sz w:val="22"/>
          <w:szCs w:val="22"/>
        </w:rPr>
      </w:pPr>
    </w:p>
    <w:p w14:paraId="2BC10EE9" w14:textId="51ED2259"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48. </w:t>
      </w:r>
      <w:r w:rsidRPr="00CD7B09">
        <w:rPr>
          <w:rFonts w:ascii="Century Gothic" w:eastAsia="Garamond" w:hAnsi="Century Gothic" w:cs="Garamond"/>
          <w:sz w:val="22"/>
          <w:szCs w:val="22"/>
        </w:rPr>
        <w:t>Modifíquese el artículo 73 de la Ley 1564 de 2012, el cual quedará así:</w:t>
      </w:r>
    </w:p>
    <w:p w14:paraId="114B85D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2865C92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bCs/>
          <w:sz w:val="22"/>
          <w:szCs w:val="22"/>
        </w:rPr>
      </w:pPr>
      <w:r w:rsidRPr="00CD7B09">
        <w:rPr>
          <w:rFonts w:ascii="Century Gothic" w:eastAsia="Garamond" w:hAnsi="Century Gothic" w:cs="Garamond"/>
          <w:sz w:val="22"/>
          <w:szCs w:val="22"/>
        </w:rPr>
        <w:t>Artículo 73. Derecho de postulación.</w:t>
      </w:r>
      <w:r w:rsidRPr="00CD7B09">
        <w:rPr>
          <w:rFonts w:ascii="Century Gothic" w:eastAsia="Garamond" w:hAnsi="Century Gothic" w:cs="Garamond"/>
          <w:b/>
          <w:sz w:val="22"/>
          <w:szCs w:val="22"/>
        </w:rPr>
        <w:t xml:space="preserve"> </w:t>
      </w:r>
      <w:r w:rsidRPr="00CD7B09">
        <w:rPr>
          <w:rFonts w:ascii="Century Gothic" w:eastAsia="Garamond" w:hAnsi="Century Gothic" w:cs="Garamond"/>
          <w:bCs/>
          <w:sz w:val="22"/>
          <w:szCs w:val="22"/>
        </w:rPr>
        <w:t>Las personas que hayan de comparecer al proceso deberán hacerlo por conducto de abogado legalmente autorizado, excepto en los casos en que la ley permita su intervención directa.</w:t>
      </w:r>
    </w:p>
    <w:p w14:paraId="63E3969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bCs/>
          <w:sz w:val="22"/>
          <w:szCs w:val="22"/>
        </w:rPr>
      </w:pPr>
      <w:r w:rsidRPr="00CD7B09">
        <w:rPr>
          <w:rFonts w:ascii="Century Gothic" w:eastAsia="Garamond" w:hAnsi="Century Gothic" w:cs="Garamond"/>
          <w:bCs/>
          <w:sz w:val="22"/>
          <w:szCs w:val="22"/>
        </w:rPr>
        <w:t>Parágrafo. En los procesos agrarios y rurales, las autoridades responsables velarán por el uso prevalente de los mecanismos alternativos de solución de conflictos, para éste propósito el despacho del juez agrario y rural contará con un conciliador en derecho adjunto al Despacho, adicionalmente, la jurisdicción priorizará el uso de mecanismos alternativos de solución de conflictos en diferendos propios de la tenencia y uso de la tierra, para lo cual también apoyará la suscripción de acuerdos de conciliación en casos de diferencias de colindancias. En caso de que el despacho no cuente con un conciliador adjunto, este podrá acudir al que se encuentre más cercano al territorio donde se presenta el litigio.</w:t>
      </w:r>
    </w:p>
    <w:p w14:paraId="2D15177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El acta de conciliación prestará mérito ejecutivo de las obligaciones que sean contraídas con ocasión del acuerdo y hará tránsito a cosa juzgada para lo cual deberá ser susceptibles de inscripción en el registro público inmobiliario siempre que medie la voluntad libre de los suscribientes. </w:t>
      </w:r>
    </w:p>
    <w:p w14:paraId="1D33012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El registro de las actas de conciliación que versen sobre derechos sobre inmuebles rurales no tendrá costo alguno en la oficina de registro de instrumentos públicos, siempre que las partes hayan invocado el amparo de pobreza en el marco del proceso o que el conciliador de fe de su condición de vulnerabilidad.</w:t>
      </w:r>
    </w:p>
    <w:p w14:paraId="48C13BB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Respecto de las entidades públicas se aplicará lo dispuesto en el artículo 160 de la Ley 1437 de 2011 o la disposición que haga sus veces.</w:t>
      </w:r>
    </w:p>
    <w:p w14:paraId="381BEA6A"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21FCBAA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Cs/>
          <w:sz w:val="22"/>
          <w:szCs w:val="22"/>
        </w:rPr>
      </w:pPr>
      <w:r w:rsidRPr="00CD7B09">
        <w:rPr>
          <w:rFonts w:ascii="Century Gothic" w:eastAsia="Garamond" w:hAnsi="Century Gothic" w:cs="Garamond"/>
          <w:b/>
          <w:sz w:val="22"/>
          <w:szCs w:val="22"/>
        </w:rPr>
        <w:t>Artículo 49.</w:t>
      </w:r>
      <w:r w:rsidRPr="00CD7B09">
        <w:rPr>
          <w:rFonts w:ascii="Century Gothic" w:eastAsia="Garamond" w:hAnsi="Century Gothic" w:cs="Garamond"/>
          <w:bCs/>
          <w:sz w:val="22"/>
          <w:szCs w:val="22"/>
        </w:rPr>
        <w:t xml:space="preserve"> Modifíquese el artículo 82 de la Ley 1564 de 2012, el cual quedará así:</w:t>
      </w:r>
    </w:p>
    <w:p w14:paraId="7792545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p>
    <w:p w14:paraId="43BA711C" w14:textId="77777777" w:rsidR="00CB1679" w:rsidRPr="00CD7B09" w:rsidRDefault="00CB1679" w:rsidP="00CB1679">
      <w:pPr>
        <w:jc w:val="both"/>
        <w:rPr>
          <w:rFonts w:ascii="Century Gothic" w:hAnsi="Century Gothic"/>
          <w:sz w:val="22"/>
          <w:szCs w:val="22"/>
        </w:rPr>
      </w:pPr>
      <w:r w:rsidRPr="00CD7B09">
        <w:rPr>
          <w:rFonts w:ascii="Century Gothic" w:hAnsi="Century Gothic"/>
          <w:b/>
          <w:bCs/>
          <w:sz w:val="22"/>
          <w:szCs w:val="22"/>
        </w:rPr>
        <w:t xml:space="preserve">Artículo 82. Requisitos de la demanda. </w:t>
      </w:r>
      <w:r w:rsidRPr="00CD7B09">
        <w:rPr>
          <w:rFonts w:ascii="Century Gothic" w:hAnsi="Century Gothic"/>
          <w:sz w:val="22"/>
          <w:szCs w:val="22"/>
        </w:rPr>
        <w:t xml:space="preserve">Salvo disposición en contrario, la demanda con que se promueva todo proceso deberá reunir los siguientes requisitos: </w:t>
      </w:r>
    </w:p>
    <w:p w14:paraId="62922167" w14:textId="77777777" w:rsidR="00CB1679" w:rsidRPr="00CD7B09" w:rsidRDefault="00CB1679" w:rsidP="00CB1679">
      <w:pPr>
        <w:jc w:val="both"/>
        <w:rPr>
          <w:rFonts w:ascii="Century Gothic" w:hAnsi="Century Gothic"/>
          <w:sz w:val="22"/>
          <w:szCs w:val="22"/>
        </w:rPr>
      </w:pPr>
    </w:p>
    <w:p w14:paraId="1B184B48" w14:textId="77777777" w:rsidR="00CB1679" w:rsidRPr="00CD7B09" w:rsidRDefault="00CB1679" w:rsidP="00CB1679">
      <w:pPr>
        <w:jc w:val="both"/>
        <w:rPr>
          <w:rFonts w:ascii="Century Gothic" w:hAnsi="Century Gothic"/>
          <w:sz w:val="22"/>
          <w:szCs w:val="22"/>
        </w:rPr>
      </w:pPr>
      <w:r w:rsidRPr="00CD7B09">
        <w:rPr>
          <w:rFonts w:ascii="Century Gothic" w:hAnsi="Century Gothic"/>
          <w:sz w:val="22"/>
          <w:szCs w:val="22"/>
        </w:rPr>
        <w:t xml:space="preserve">1. La designación del juez a quien se dirija. </w:t>
      </w:r>
    </w:p>
    <w:p w14:paraId="0E0CBAFD" w14:textId="77777777" w:rsidR="00CB1679" w:rsidRPr="00CD7B09" w:rsidRDefault="00CB1679" w:rsidP="00CB1679">
      <w:pPr>
        <w:jc w:val="both"/>
        <w:rPr>
          <w:rFonts w:ascii="Century Gothic" w:hAnsi="Century Gothic"/>
          <w:sz w:val="22"/>
          <w:szCs w:val="22"/>
        </w:rPr>
      </w:pPr>
      <w:r w:rsidRPr="00CD7B09">
        <w:rPr>
          <w:rFonts w:ascii="Century Gothic" w:hAnsi="Century Gothic"/>
          <w:sz w:val="22"/>
          <w:szCs w:val="22"/>
        </w:rPr>
        <w:t xml:space="preserve">2. El nombre y domicilio de las partes y, si no pueden comparecer por sí mismas, los de sus representantes legales. Se deberá indicar el número de identificación del demandante y de su representante y el de los demandados si se conoce. Tratándose de personas jurídicas o de patrimonios autónomos será el número de identificación tributaria (NIT). </w:t>
      </w:r>
    </w:p>
    <w:p w14:paraId="196E275F" w14:textId="77777777" w:rsidR="00CB1679" w:rsidRPr="00CD7B09" w:rsidRDefault="00CB1679" w:rsidP="00CB1679">
      <w:pPr>
        <w:jc w:val="both"/>
        <w:rPr>
          <w:rFonts w:ascii="Century Gothic" w:hAnsi="Century Gothic"/>
          <w:sz w:val="22"/>
          <w:szCs w:val="22"/>
        </w:rPr>
      </w:pPr>
      <w:r w:rsidRPr="00CD7B09">
        <w:rPr>
          <w:rFonts w:ascii="Century Gothic" w:hAnsi="Century Gothic"/>
          <w:sz w:val="22"/>
          <w:szCs w:val="22"/>
        </w:rPr>
        <w:t xml:space="preserve">3. El nombre del apoderado judicial del demandante, si fuere el caso. </w:t>
      </w:r>
    </w:p>
    <w:p w14:paraId="31E9287A" w14:textId="77777777" w:rsidR="00CB1679" w:rsidRPr="00CD7B09" w:rsidRDefault="00CB1679" w:rsidP="00CB1679">
      <w:pPr>
        <w:jc w:val="both"/>
        <w:rPr>
          <w:rFonts w:ascii="Century Gothic" w:hAnsi="Century Gothic"/>
          <w:sz w:val="22"/>
          <w:szCs w:val="22"/>
        </w:rPr>
      </w:pPr>
      <w:r w:rsidRPr="00CD7B09">
        <w:rPr>
          <w:rFonts w:ascii="Century Gothic" w:hAnsi="Century Gothic"/>
          <w:sz w:val="22"/>
          <w:szCs w:val="22"/>
        </w:rPr>
        <w:t xml:space="preserve">4. Lo que se pretenda, expresado con precisión y claridad. </w:t>
      </w:r>
    </w:p>
    <w:p w14:paraId="58C2964D" w14:textId="77777777" w:rsidR="00CB1679" w:rsidRPr="00CD7B09" w:rsidRDefault="00CB1679" w:rsidP="00CB1679">
      <w:pPr>
        <w:jc w:val="both"/>
        <w:rPr>
          <w:rFonts w:ascii="Century Gothic" w:hAnsi="Century Gothic"/>
          <w:sz w:val="22"/>
          <w:szCs w:val="22"/>
        </w:rPr>
      </w:pPr>
      <w:r w:rsidRPr="00CD7B09">
        <w:rPr>
          <w:rFonts w:ascii="Century Gothic" w:hAnsi="Century Gothic"/>
          <w:sz w:val="22"/>
          <w:szCs w:val="22"/>
        </w:rPr>
        <w:t xml:space="preserve">5. Los hechos que le sirven de fundamento a las pretensiones, debidamente determinados, clasificados y numerados. </w:t>
      </w:r>
    </w:p>
    <w:p w14:paraId="3C0CFAD7" w14:textId="77777777" w:rsidR="00CB1679" w:rsidRPr="00CD7B09" w:rsidRDefault="00CB1679" w:rsidP="00CB1679">
      <w:pPr>
        <w:jc w:val="both"/>
        <w:rPr>
          <w:rFonts w:ascii="Century Gothic" w:hAnsi="Century Gothic"/>
          <w:sz w:val="22"/>
          <w:szCs w:val="22"/>
        </w:rPr>
      </w:pPr>
      <w:r w:rsidRPr="00CD7B09">
        <w:rPr>
          <w:rFonts w:ascii="Century Gothic" w:hAnsi="Century Gothic"/>
          <w:sz w:val="22"/>
          <w:szCs w:val="22"/>
        </w:rPr>
        <w:t xml:space="preserve">6. La petición de las pruebas que se pretenda hacer valer, con indicación de los documentos que el demandado tiene en su poder, para que este los aporte. </w:t>
      </w:r>
    </w:p>
    <w:p w14:paraId="58FFCF0A" w14:textId="77777777" w:rsidR="00CB1679" w:rsidRPr="00CD7B09" w:rsidRDefault="00CB1679" w:rsidP="00CB1679">
      <w:pPr>
        <w:jc w:val="both"/>
        <w:rPr>
          <w:rFonts w:ascii="Century Gothic" w:hAnsi="Century Gothic"/>
          <w:sz w:val="22"/>
          <w:szCs w:val="22"/>
        </w:rPr>
      </w:pPr>
      <w:r w:rsidRPr="00CD7B09">
        <w:rPr>
          <w:rFonts w:ascii="Century Gothic" w:hAnsi="Century Gothic"/>
          <w:sz w:val="22"/>
          <w:szCs w:val="22"/>
        </w:rPr>
        <w:t xml:space="preserve">7. El juramento estimatorio, cuando sea necesario.  </w:t>
      </w:r>
    </w:p>
    <w:p w14:paraId="68B690AA" w14:textId="77777777" w:rsidR="00CB1679" w:rsidRPr="00CD7B09" w:rsidRDefault="00CB1679" w:rsidP="00CB1679">
      <w:pPr>
        <w:jc w:val="both"/>
        <w:rPr>
          <w:rFonts w:ascii="Century Gothic" w:hAnsi="Century Gothic"/>
          <w:sz w:val="22"/>
          <w:szCs w:val="22"/>
        </w:rPr>
      </w:pPr>
      <w:r w:rsidRPr="00CD7B09">
        <w:rPr>
          <w:rFonts w:ascii="Century Gothic" w:hAnsi="Century Gothic"/>
          <w:sz w:val="22"/>
          <w:szCs w:val="22"/>
        </w:rPr>
        <w:t xml:space="preserve">8. Los fundamentos de derecho. </w:t>
      </w:r>
    </w:p>
    <w:p w14:paraId="3ED8C863" w14:textId="77777777" w:rsidR="00CB1679" w:rsidRPr="00CD7B09" w:rsidRDefault="00CB1679" w:rsidP="00CB1679">
      <w:pPr>
        <w:jc w:val="both"/>
        <w:rPr>
          <w:rFonts w:ascii="Century Gothic" w:hAnsi="Century Gothic"/>
          <w:sz w:val="22"/>
          <w:szCs w:val="22"/>
        </w:rPr>
      </w:pPr>
      <w:r w:rsidRPr="00CD7B09">
        <w:rPr>
          <w:rFonts w:ascii="Century Gothic" w:hAnsi="Century Gothic"/>
          <w:sz w:val="22"/>
          <w:szCs w:val="22"/>
        </w:rPr>
        <w:t xml:space="preserve">9. La cuantía del proceso, cuando su estimación sea necesaria para determinar la competencia o el trámite. </w:t>
      </w:r>
    </w:p>
    <w:p w14:paraId="1D8C56C2" w14:textId="77777777" w:rsidR="00CB1679" w:rsidRPr="00CD7B09" w:rsidRDefault="00CB1679" w:rsidP="00CB1679">
      <w:pPr>
        <w:jc w:val="both"/>
        <w:rPr>
          <w:rFonts w:ascii="Century Gothic" w:hAnsi="Century Gothic"/>
          <w:sz w:val="22"/>
          <w:szCs w:val="22"/>
        </w:rPr>
      </w:pPr>
      <w:r w:rsidRPr="00CD7B09">
        <w:rPr>
          <w:rFonts w:ascii="Century Gothic" w:hAnsi="Century Gothic"/>
          <w:sz w:val="22"/>
          <w:szCs w:val="22"/>
        </w:rPr>
        <w:t xml:space="preserve">10. El lugar, la dirección física y electrónica que tengan o estén obligados a llevar, donde las partes, sus representantes y el apoderado del demandante recibirán notificaciones personales. </w:t>
      </w:r>
    </w:p>
    <w:p w14:paraId="2BE90D52" w14:textId="77777777" w:rsidR="00CB1679" w:rsidRPr="00CD7B09" w:rsidRDefault="00CB1679" w:rsidP="00CB1679">
      <w:pPr>
        <w:jc w:val="both"/>
        <w:rPr>
          <w:rFonts w:ascii="Century Gothic" w:hAnsi="Century Gothic"/>
          <w:sz w:val="22"/>
          <w:szCs w:val="22"/>
        </w:rPr>
      </w:pPr>
      <w:r w:rsidRPr="00CD7B09">
        <w:rPr>
          <w:rFonts w:ascii="Century Gothic" w:hAnsi="Century Gothic"/>
          <w:sz w:val="22"/>
          <w:szCs w:val="22"/>
        </w:rPr>
        <w:t xml:space="preserve">11. Los demás que exija la ley. </w:t>
      </w:r>
    </w:p>
    <w:p w14:paraId="26B0C926" w14:textId="77777777" w:rsidR="00CB1679" w:rsidRPr="00CD7B09" w:rsidRDefault="00CB1679" w:rsidP="00CB1679">
      <w:pPr>
        <w:jc w:val="both"/>
        <w:rPr>
          <w:rFonts w:ascii="Century Gothic" w:hAnsi="Century Gothic"/>
          <w:sz w:val="22"/>
          <w:szCs w:val="22"/>
        </w:rPr>
      </w:pPr>
      <w:r w:rsidRPr="00CD7B09">
        <w:rPr>
          <w:rFonts w:ascii="Century Gothic" w:hAnsi="Century Gothic"/>
          <w:sz w:val="22"/>
          <w:szCs w:val="22"/>
        </w:rPr>
        <w:t xml:space="preserve">Parágrafo primero. Cuando se desconozca el domicilio del demandado o el de su representante legal, o el lugar donde estos recibirán notificaciones, se deberá expresar esa circunstancia. </w:t>
      </w:r>
    </w:p>
    <w:p w14:paraId="67217FC8" w14:textId="77777777" w:rsidR="00CB1679" w:rsidRPr="00CD7B09" w:rsidRDefault="00CB1679" w:rsidP="00CB1679">
      <w:pPr>
        <w:jc w:val="both"/>
        <w:rPr>
          <w:rFonts w:ascii="Century Gothic" w:hAnsi="Century Gothic"/>
          <w:sz w:val="22"/>
          <w:szCs w:val="22"/>
        </w:rPr>
      </w:pPr>
      <w:r w:rsidRPr="00CD7B09">
        <w:rPr>
          <w:rFonts w:ascii="Century Gothic" w:hAnsi="Century Gothic"/>
          <w:sz w:val="22"/>
          <w:szCs w:val="22"/>
        </w:rPr>
        <w:t>Parágrafo segundo. Las demandas que se presenten en mensaje de datos no requerirán de la firma digital definida por la Ley 527 de 1999. En estos casos, bastará que el suscriptor se identifique con su nombre y documento de identificación en el mensaje de datos.</w:t>
      </w:r>
    </w:p>
    <w:p w14:paraId="0B3018B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Cs/>
          <w:sz w:val="22"/>
          <w:szCs w:val="22"/>
        </w:rPr>
      </w:pPr>
      <w:r w:rsidRPr="00CD7B09">
        <w:rPr>
          <w:rFonts w:ascii="Century Gothic" w:eastAsia="Garamond" w:hAnsi="Century Gothic" w:cs="Garamond"/>
          <w:bCs/>
          <w:sz w:val="22"/>
          <w:szCs w:val="22"/>
        </w:rPr>
        <w:t xml:space="preserve">Parágrafo tercero. Cuando se trate de la demanda en asuntos agrarios y rurales, además de lo establecido en este artículo, la demanda deberá indicar: </w:t>
      </w:r>
    </w:p>
    <w:p w14:paraId="4F30DE06"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bCs/>
          <w:sz w:val="22"/>
          <w:szCs w:val="22"/>
        </w:rPr>
      </w:pPr>
    </w:p>
    <w:p w14:paraId="05D44578" w14:textId="77777777" w:rsidR="00CB1679" w:rsidRPr="00CD7B09" w:rsidRDefault="00CB1679" w:rsidP="00CB1679">
      <w:pPr>
        <w:widowControl w:val="0"/>
        <w:numPr>
          <w:ilvl w:val="0"/>
          <w:numId w:val="82"/>
        </w:numPr>
        <w:pBdr>
          <w:top w:val="nil"/>
          <w:left w:val="nil"/>
          <w:bottom w:val="nil"/>
          <w:right w:val="nil"/>
          <w:between w:val="nil"/>
        </w:pBdr>
        <w:spacing w:after="160" w:line="259" w:lineRule="auto"/>
        <w:ind w:right="49"/>
        <w:jc w:val="both"/>
        <w:rPr>
          <w:rFonts w:ascii="Century Gothic" w:eastAsia="Garamond" w:hAnsi="Century Gothic" w:cs="Garamond"/>
          <w:bCs/>
          <w:sz w:val="22"/>
          <w:szCs w:val="22"/>
        </w:rPr>
      </w:pPr>
      <w:r w:rsidRPr="00CD7B09">
        <w:rPr>
          <w:rFonts w:ascii="Century Gothic" w:eastAsia="Garamond" w:hAnsi="Century Gothic" w:cs="Garamond"/>
          <w:bCs/>
          <w:sz w:val="22"/>
          <w:szCs w:val="22"/>
        </w:rPr>
        <w:t>Cuando verse sobre bienes inmuebles, la identificación del predio, que deberá incluir los siguientes datos: ubicación (departamento, municipio o corregimiento), colindantes actuales, el nombre con el cual se conoce el predio en la región, identificación registral, número de la matrícula inmobiliaria, identificación catastral y número de la cédula catastral, cuando estas existieran.</w:t>
      </w:r>
    </w:p>
    <w:p w14:paraId="10ED3BD0" w14:textId="3B79CCF5" w:rsidR="00CB1679" w:rsidRPr="00CD7B09" w:rsidRDefault="00CB1679" w:rsidP="00CB1679">
      <w:pPr>
        <w:widowControl w:val="0"/>
        <w:numPr>
          <w:ilvl w:val="0"/>
          <w:numId w:val="82"/>
        </w:numPr>
        <w:pBdr>
          <w:top w:val="nil"/>
          <w:left w:val="nil"/>
          <w:bottom w:val="nil"/>
          <w:right w:val="nil"/>
          <w:between w:val="nil"/>
        </w:pBdr>
        <w:spacing w:after="160" w:line="259" w:lineRule="auto"/>
        <w:ind w:right="49"/>
        <w:jc w:val="both"/>
        <w:rPr>
          <w:rFonts w:ascii="Century Gothic" w:eastAsia="Garamond" w:hAnsi="Century Gothic" w:cs="Garamond"/>
          <w:bCs/>
          <w:sz w:val="22"/>
          <w:szCs w:val="22"/>
        </w:rPr>
      </w:pPr>
      <w:r w:rsidRPr="00CD7B09">
        <w:rPr>
          <w:rFonts w:ascii="Century Gothic" w:eastAsia="Garamond" w:hAnsi="Century Gothic" w:cs="Garamond"/>
          <w:bCs/>
          <w:sz w:val="22"/>
          <w:szCs w:val="22"/>
        </w:rPr>
        <w:t>La información de los procedimientos administrativos o procesos judiciales que se adelanten respecto del predio, de los cuales tenga conocimiento el demandante.</w:t>
      </w:r>
    </w:p>
    <w:p w14:paraId="781C559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470" w:right="49" w:hanging="284"/>
        <w:jc w:val="both"/>
        <w:rPr>
          <w:rFonts w:ascii="Century Gothic" w:eastAsia="Garamond" w:hAnsi="Century Gothic" w:cs="Garamond"/>
          <w:bCs/>
          <w:sz w:val="22"/>
          <w:szCs w:val="22"/>
        </w:rPr>
      </w:pPr>
    </w:p>
    <w:p w14:paraId="720CFA3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Garamond"/>
          <w:bCs/>
          <w:sz w:val="22"/>
          <w:szCs w:val="22"/>
        </w:rPr>
      </w:pPr>
      <w:r w:rsidRPr="00CD7B09">
        <w:rPr>
          <w:rFonts w:ascii="Century Gothic" w:eastAsia="Garamond" w:hAnsi="Century Gothic" w:cs="Garamond"/>
          <w:bCs/>
          <w:sz w:val="22"/>
          <w:szCs w:val="22"/>
        </w:rPr>
        <w:t>Las acciones agrarias se podrán presentar en los formatos que para tal efecto autorice el Consejo Superior de la Judicatura, los cuales serán en todo caso gratuitos.</w:t>
      </w:r>
    </w:p>
    <w:p w14:paraId="76E8FBC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470" w:right="49" w:hanging="284"/>
        <w:jc w:val="both"/>
        <w:rPr>
          <w:rFonts w:ascii="Century Gothic" w:eastAsia="Garamond" w:hAnsi="Century Gothic" w:cs="Garamond"/>
          <w:bCs/>
          <w:sz w:val="22"/>
          <w:szCs w:val="22"/>
        </w:rPr>
      </w:pPr>
    </w:p>
    <w:p w14:paraId="3A136471" w14:textId="65A4752C"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Garamond"/>
          <w:bCs/>
          <w:sz w:val="22"/>
          <w:szCs w:val="22"/>
        </w:rPr>
      </w:pPr>
      <w:r w:rsidRPr="00CD7B09">
        <w:rPr>
          <w:rFonts w:ascii="Century Gothic" w:eastAsia="Garamond" w:hAnsi="Century Gothic" w:cs="Garamond"/>
          <w:bCs/>
          <w:sz w:val="22"/>
          <w:szCs w:val="22"/>
        </w:rPr>
        <w:t xml:space="preserve">La presentación de las demandas en asuntos agrarios y rurales estará acompañada, a solicitud del accionante, de la asesoría del facilitador que integra el despacho agrario y rural correspondiente. </w:t>
      </w:r>
    </w:p>
    <w:p w14:paraId="1910F1A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470" w:right="49" w:hanging="284"/>
        <w:jc w:val="both"/>
        <w:rPr>
          <w:rFonts w:ascii="Century Gothic" w:eastAsia="Garamond" w:hAnsi="Century Gothic" w:cs="Garamond"/>
          <w:bCs/>
          <w:sz w:val="22"/>
          <w:szCs w:val="22"/>
        </w:rPr>
      </w:pPr>
    </w:p>
    <w:p w14:paraId="630F163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Garamond"/>
          <w:bCs/>
          <w:sz w:val="22"/>
          <w:szCs w:val="22"/>
        </w:rPr>
      </w:pPr>
      <w:r w:rsidRPr="00CD7B09">
        <w:rPr>
          <w:rFonts w:ascii="Century Gothic" w:eastAsia="Garamond" w:hAnsi="Century Gothic" w:cs="Garamond"/>
          <w:bCs/>
          <w:sz w:val="22"/>
          <w:szCs w:val="22"/>
        </w:rPr>
        <w:t xml:space="preserve">En los casos en que se dificulte la identificación de un predio y cuando se haya decretado el amparo de pobreza, el juez podrá solicitar de oficio o a petición a la entidad territorial correspondiente o al Instituto Geográfico Agustín Codazzi la información que permita la plena información del predio.  </w:t>
      </w:r>
    </w:p>
    <w:p w14:paraId="54D44CF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6F998BC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r w:rsidRPr="00CD7B09">
        <w:rPr>
          <w:rFonts w:ascii="Century Gothic" w:eastAsia="Garamond" w:hAnsi="Century Gothic" w:cs="Garamond"/>
          <w:b/>
          <w:sz w:val="22"/>
          <w:szCs w:val="22"/>
        </w:rPr>
        <w:t xml:space="preserve">Artículo 50. </w:t>
      </w:r>
      <w:r w:rsidRPr="00CD7B09">
        <w:rPr>
          <w:rFonts w:ascii="Century Gothic" w:eastAsia="Garamond" w:hAnsi="Century Gothic" w:cs="Garamond"/>
          <w:sz w:val="22"/>
          <w:szCs w:val="22"/>
        </w:rPr>
        <w:t>Adiciónese el artículo 421A a la Ley 1564 de 2012, el cual quedará así:</w:t>
      </w:r>
    </w:p>
    <w:p w14:paraId="70942848"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p>
    <w:p w14:paraId="7EDA4E02"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Artículo 421A. Auto admisorio. El auto que admita la demanda deberá disponer:</w:t>
      </w:r>
    </w:p>
    <w:p w14:paraId="17EFACA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60C00565" w14:textId="77777777" w:rsidR="00CB1679" w:rsidRPr="00CD7B09" w:rsidRDefault="00CB1679" w:rsidP="00CB1679">
      <w:pPr>
        <w:widowControl w:val="0"/>
        <w:numPr>
          <w:ilvl w:val="0"/>
          <w:numId w:val="15"/>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Cuando fuere el caso, la inscripción de la demanda en las respectivas oficinas de registro de instrumentos públicos, indicando los folios de matrícula inmobiliaria y la orden de remisión del oficio de inscripción de la demanda por el registrador al juez. </w:t>
      </w:r>
    </w:p>
    <w:p w14:paraId="419BD566" w14:textId="77777777" w:rsidR="00CB1679" w:rsidRPr="00CD7B09" w:rsidRDefault="00CB1679" w:rsidP="00CB1679">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jc w:val="both"/>
        <w:rPr>
          <w:rFonts w:ascii="Century Gothic" w:eastAsia="Garamond" w:hAnsi="Century Gothic" w:cs="Garamond"/>
          <w:sz w:val="22"/>
          <w:szCs w:val="22"/>
        </w:rPr>
      </w:pPr>
    </w:p>
    <w:p w14:paraId="12567E81" w14:textId="77777777" w:rsidR="00CB1679" w:rsidRPr="00CD7B09" w:rsidRDefault="00CB1679" w:rsidP="00CB1679">
      <w:pPr>
        <w:widowControl w:val="0"/>
        <w:numPr>
          <w:ilvl w:val="0"/>
          <w:numId w:val="15"/>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Cuando fuere el caso, la suspensión y acumulación de los procesos y procedimientos que versen sobre el mismo inmueble o predio, de conformidad con lo dispuesto en el artículo 57 del Decreto Ley 902 de 2017 y en esta ley.</w:t>
      </w:r>
    </w:p>
    <w:p w14:paraId="1B3FC32D" w14:textId="77777777" w:rsidR="00CB1679" w:rsidRPr="00CD7B09" w:rsidRDefault="00CB1679" w:rsidP="00CB1679">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jc w:val="both"/>
        <w:rPr>
          <w:rFonts w:ascii="Century Gothic" w:eastAsia="Garamond" w:hAnsi="Century Gothic" w:cs="Garamond"/>
          <w:sz w:val="22"/>
          <w:szCs w:val="22"/>
        </w:rPr>
      </w:pPr>
    </w:p>
    <w:p w14:paraId="782F648B" w14:textId="77777777" w:rsidR="00CB1679" w:rsidRPr="00CD7B09" w:rsidRDefault="00CB1679" w:rsidP="00CB1679">
      <w:pPr>
        <w:widowControl w:val="0"/>
        <w:numPr>
          <w:ilvl w:val="0"/>
          <w:numId w:val="15"/>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citación al proceso a quienes figuren como titulares inscritos de derechos en el folio de matrícula inmobiliaria del predio sobre el cual verse la acción y a las autoridades nacionales y regionales que hayan presentado oposiciones o se requiera de su actuación dentro del proceso.</w:t>
      </w:r>
    </w:p>
    <w:p w14:paraId="4D312879" w14:textId="77777777" w:rsidR="00CB1679" w:rsidRPr="00CD7B09" w:rsidRDefault="00CB1679" w:rsidP="00CB1679">
      <w:pPr>
        <w:widowControl w:val="0"/>
        <w:pBdr>
          <w:top w:val="nil"/>
          <w:left w:val="nil"/>
          <w:bottom w:val="nil"/>
          <w:right w:val="nil"/>
          <w:between w:val="nil"/>
        </w:pBdr>
        <w:ind w:left="819" w:right="49"/>
        <w:jc w:val="both"/>
        <w:rPr>
          <w:rFonts w:ascii="Century Gothic" w:eastAsia="Garamond" w:hAnsi="Century Gothic" w:cs="Garamond"/>
          <w:sz w:val="22"/>
          <w:szCs w:val="22"/>
        </w:rPr>
      </w:pPr>
    </w:p>
    <w:p w14:paraId="71EA8D16" w14:textId="77777777" w:rsidR="00CB1679" w:rsidRPr="00CD7B09" w:rsidRDefault="00CB1679" w:rsidP="00CB1679">
      <w:pPr>
        <w:widowControl w:val="0"/>
        <w:numPr>
          <w:ilvl w:val="0"/>
          <w:numId w:val="15"/>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publicación del auto admisorio, por el término de quince (15) días, con inclusión de la identificación del predio y el nombre e identificación de la persona a favor de quien se tramita la demanda, para que las personas que consideren tener derechos legítimos relacionados con el predio y/o se consideren afectadas por la suspensión de procesos judiciales y procedimientos administrativos, comparezcan al proceso y hagan valer sus derechos, en los términos del artículo 421J.</w:t>
      </w:r>
    </w:p>
    <w:p w14:paraId="4E336ABF" w14:textId="77777777" w:rsidR="00CB1679" w:rsidRPr="00CD7B09" w:rsidRDefault="00CB1679" w:rsidP="00CB1679">
      <w:pPr>
        <w:widowControl w:val="0"/>
        <w:pBdr>
          <w:top w:val="nil"/>
          <w:left w:val="nil"/>
          <w:bottom w:val="nil"/>
          <w:right w:val="nil"/>
          <w:between w:val="nil"/>
        </w:pBdr>
        <w:ind w:left="819" w:right="49"/>
        <w:jc w:val="both"/>
        <w:rPr>
          <w:rFonts w:ascii="Century Gothic" w:eastAsia="Garamond" w:hAnsi="Century Gothic" w:cs="Garamond"/>
          <w:sz w:val="22"/>
          <w:szCs w:val="22"/>
        </w:rPr>
      </w:pPr>
    </w:p>
    <w:p w14:paraId="2592EEA4" w14:textId="77777777" w:rsidR="00CB1679" w:rsidRPr="00CD7B09" w:rsidRDefault="00CB1679" w:rsidP="00CB1679">
      <w:pPr>
        <w:widowControl w:val="0"/>
        <w:numPr>
          <w:ilvl w:val="0"/>
          <w:numId w:val="15"/>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Cuando fuere el caso, la orden de oficiar a las entidades competentes para efectos de dilucidar si el predio sobre el cual versa el litigio se encuentra en alguna de las siguientes situaciones:</w:t>
      </w:r>
    </w:p>
    <w:p w14:paraId="10D9C779" w14:textId="77777777" w:rsidR="00CB1679" w:rsidRPr="00CD7B09" w:rsidRDefault="00CB1679" w:rsidP="00CB1679">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Century Gothic" w:eastAsia="Garamond" w:hAnsi="Century Gothic" w:cs="Garamond"/>
          <w:sz w:val="22"/>
          <w:szCs w:val="22"/>
        </w:rPr>
      </w:pPr>
    </w:p>
    <w:p w14:paraId="0DC621C9" w14:textId="77777777" w:rsidR="00CB1679" w:rsidRPr="00CD7B09" w:rsidRDefault="00CB1679" w:rsidP="00CB1679">
      <w:pPr>
        <w:widowControl w:val="0"/>
        <w:numPr>
          <w:ilvl w:val="1"/>
          <w:numId w:val="17"/>
        </w:numPr>
        <w:pBdr>
          <w:top w:val="nil"/>
          <w:left w:val="nil"/>
          <w:bottom w:val="nil"/>
          <w:right w:val="nil"/>
          <w:between w:val="nil"/>
        </w:pBdr>
        <w:ind w:right="49" w:hanging="676"/>
        <w:jc w:val="both"/>
        <w:rPr>
          <w:rFonts w:ascii="Century Gothic" w:eastAsia="Garamond" w:hAnsi="Century Gothic" w:cs="Garamond"/>
          <w:sz w:val="22"/>
          <w:szCs w:val="22"/>
        </w:rPr>
      </w:pPr>
      <w:r w:rsidRPr="00CD7B09">
        <w:rPr>
          <w:rFonts w:ascii="Century Gothic" w:eastAsia="Garamond" w:hAnsi="Century Gothic" w:cs="Garamond"/>
          <w:sz w:val="22"/>
          <w:szCs w:val="22"/>
        </w:rPr>
        <w:t>Imprescriptibilidad o propiedad de entidades de derecho público, conforme a los artículos 63, 72, 102 y 332 de la Constitución Política y, en general, bienes cuya posesión, ocupación o transferencia, según el caso, estén prohibidas o restringidas por normas constitucionales o legales.</w:t>
      </w:r>
    </w:p>
    <w:p w14:paraId="050AD1AC" w14:textId="77777777" w:rsidR="00CB1679" w:rsidRPr="00CD7B09" w:rsidRDefault="00CB1679" w:rsidP="00CB1679">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Century Gothic" w:eastAsia="Garamond" w:hAnsi="Century Gothic" w:cs="Garamond"/>
          <w:sz w:val="22"/>
          <w:szCs w:val="22"/>
        </w:rPr>
      </w:pPr>
    </w:p>
    <w:p w14:paraId="0B1A6910" w14:textId="77777777" w:rsidR="00CB1679" w:rsidRPr="00CD7B09" w:rsidRDefault="00CB1679" w:rsidP="00CB1679">
      <w:pPr>
        <w:widowControl w:val="0"/>
        <w:numPr>
          <w:ilvl w:val="1"/>
          <w:numId w:val="17"/>
        </w:numPr>
        <w:pBdr>
          <w:top w:val="nil"/>
          <w:left w:val="nil"/>
          <w:bottom w:val="nil"/>
          <w:right w:val="nil"/>
          <w:between w:val="nil"/>
        </w:pBdr>
        <w:ind w:right="49" w:hanging="676"/>
        <w:jc w:val="both"/>
        <w:rPr>
          <w:rFonts w:ascii="Century Gothic" w:eastAsia="Garamond" w:hAnsi="Century Gothic" w:cs="Garamond"/>
          <w:sz w:val="22"/>
          <w:szCs w:val="22"/>
        </w:rPr>
      </w:pPr>
      <w:r w:rsidRPr="00CD7B09">
        <w:rPr>
          <w:rFonts w:ascii="Century Gothic" w:eastAsia="Garamond" w:hAnsi="Century Gothic" w:cs="Garamond"/>
          <w:sz w:val="22"/>
          <w:szCs w:val="22"/>
        </w:rPr>
        <w:t>Ubicación en zonas declaradas de alto riesgo no mitigable identificadas en el Plan de Ordenamiento Territorial y en los instrumentos que lo desarrollen y complementen, o aquellas que se definan por estudios geotécnicos que adopte oficialmente la administración Municipal, Distrital o el Departamento Archipiélago de San Andrés, Providencia y Santa Catalina, en cualquier momento.</w:t>
      </w:r>
    </w:p>
    <w:p w14:paraId="0F3D396C" w14:textId="77777777" w:rsidR="00CB1679" w:rsidRPr="00CD7B09" w:rsidRDefault="00CB1679" w:rsidP="00CB1679">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Century Gothic" w:eastAsia="Garamond" w:hAnsi="Century Gothic" w:cs="Garamond"/>
          <w:sz w:val="22"/>
          <w:szCs w:val="22"/>
        </w:rPr>
      </w:pPr>
    </w:p>
    <w:p w14:paraId="3AD096F6" w14:textId="77777777" w:rsidR="00CB1679" w:rsidRPr="00CD7B09" w:rsidRDefault="00CB1679" w:rsidP="00CB1679">
      <w:pPr>
        <w:widowControl w:val="0"/>
        <w:numPr>
          <w:ilvl w:val="1"/>
          <w:numId w:val="17"/>
        </w:numPr>
        <w:pBdr>
          <w:top w:val="nil"/>
          <w:left w:val="nil"/>
          <w:bottom w:val="nil"/>
          <w:right w:val="nil"/>
          <w:between w:val="nil"/>
        </w:pBdr>
        <w:ind w:right="49" w:hanging="676"/>
        <w:jc w:val="both"/>
        <w:rPr>
          <w:rFonts w:ascii="Century Gothic" w:eastAsia="Garamond" w:hAnsi="Century Gothic" w:cs="Garamond"/>
          <w:sz w:val="22"/>
          <w:szCs w:val="22"/>
        </w:rPr>
      </w:pPr>
      <w:r w:rsidRPr="00CD7B09">
        <w:rPr>
          <w:rFonts w:ascii="Century Gothic" w:eastAsia="Garamond" w:hAnsi="Century Gothic" w:cs="Garamond"/>
          <w:sz w:val="22"/>
          <w:szCs w:val="22"/>
        </w:rPr>
        <w:t>Ubicación en zonas o áreas protegidas, de conformidad con lo dispuesto en la Ley 2ª de 1959, el Decreto 1076 de 2015 y demás normas complementarias.</w:t>
      </w:r>
    </w:p>
    <w:p w14:paraId="6F3C3414" w14:textId="77777777" w:rsidR="00CB1679" w:rsidRPr="00CD7B09" w:rsidRDefault="00CB1679" w:rsidP="00CB1679">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Century Gothic" w:eastAsia="Garamond" w:hAnsi="Century Gothic" w:cs="Garamond"/>
          <w:sz w:val="22"/>
          <w:szCs w:val="22"/>
        </w:rPr>
      </w:pPr>
    </w:p>
    <w:p w14:paraId="73A6E5DD" w14:textId="77777777" w:rsidR="00CB1679" w:rsidRPr="00CD7B09" w:rsidRDefault="00CB1679" w:rsidP="00CB1679">
      <w:pPr>
        <w:widowControl w:val="0"/>
        <w:numPr>
          <w:ilvl w:val="1"/>
          <w:numId w:val="17"/>
        </w:numPr>
        <w:pBdr>
          <w:top w:val="nil"/>
          <w:left w:val="nil"/>
          <w:bottom w:val="nil"/>
          <w:right w:val="nil"/>
          <w:between w:val="nil"/>
        </w:pBdr>
        <w:ind w:right="49" w:hanging="676"/>
        <w:jc w:val="both"/>
        <w:rPr>
          <w:rFonts w:ascii="Century Gothic" w:eastAsia="Garamond" w:hAnsi="Century Gothic" w:cs="Garamond"/>
          <w:sz w:val="22"/>
          <w:szCs w:val="22"/>
        </w:rPr>
      </w:pPr>
      <w:r w:rsidRPr="00CD7B09">
        <w:rPr>
          <w:rFonts w:ascii="Century Gothic" w:eastAsia="Garamond" w:hAnsi="Century Gothic" w:cs="Garamond"/>
          <w:sz w:val="22"/>
          <w:szCs w:val="22"/>
        </w:rPr>
        <w:t>Ubicación en zonas de cantera que hayan sufrido grave deterioro físico, hasta tanto se adelante un manejo especial de recomposición geomorfológica de su suelo que las habilite para el desarrollo urbano.</w:t>
      </w:r>
    </w:p>
    <w:p w14:paraId="64CD4033" w14:textId="77777777" w:rsidR="00CB1679" w:rsidRPr="00CD7B09" w:rsidRDefault="00CB1679" w:rsidP="00CB1679">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Century Gothic" w:eastAsia="Garamond" w:hAnsi="Century Gothic" w:cs="Garamond"/>
          <w:sz w:val="22"/>
          <w:szCs w:val="22"/>
        </w:rPr>
      </w:pPr>
    </w:p>
    <w:p w14:paraId="3124DA8A" w14:textId="77777777" w:rsidR="00CB1679" w:rsidRPr="00CD7B09" w:rsidRDefault="00CB1679" w:rsidP="00CB1679">
      <w:pPr>
        <w:widowControl w:val="0"/>
        <w:numPr>
          <w:ilvl w:val="1"/>
          <w:numId w:val="17"/>
        </w:numPr>
        <w:pBdr>
          <w:top w:val="nil"/>
          <w:left w:val="nil"/>
          <w:bottom w:val="nil"/>
          <w:right w:val="nil"/>
          <w:between w:val="nil"/>
        </w:pBdr>
        <w:ind w:right="49" w:hanging="676"/>
        <w:jc w:val="both"/>
        <w:rPr>
          <w:rFonts w:ascii="Century Gothic" w:eastAsia="Garamond" w:hAnsi="Century Gothic" w:cs="Garamond"/>
          <w:sz w:val="22"/>
          <w:szCs w:val="22"/>
        </w:rPr>
      </w:pPr>
      <w:r w:rsidRPr="00CD7B09">
        <w:rPr>
          <w:rFonts w:ascii="Century Gothic" w:eastAsia="Garamond" w:hAnsi="Century Gothic" w:cs="Garamond"/>
          <w:sz w:val="22"/>
          <w:szCs w:val="22"/>
        </w:rPr>
        <w:t>Ubicación total o parcial, en terrenos afectados por obra pública, de conformidad con lo establecido en el artículo 37 de la Ley 9ª de 1989.</w:t>
      </w:r>
    </w:p>
    <w:p w14:paraId="6DE0BD31" w14:textId="77777777" w:rsidR="00CB1679" w:rsidRPr="00CD7B09" w:rsidRDefault="00CB1679" w:rsidP="00CB1679">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Century Gothic" w:eastAsia="Garamond" w:hAnsi="Century Gothic" w:cs="Garamond"/>
          <w:sz w:val="22"/>
          <w:szCs w:val="22"/>
        </w:rPr>
      </w:pPr>
    </w:p>
    <w:p w14:paraId="61C6F191" w14:textId="77777777" w:rsidR="00CB1679" w:rsidRPr="00CD7B09" w:rsidRDefault="00CB1679" w:rsidP="00CB1679">
      <w:pPr>
        <w:widowControl w:val="0"/>
        <w:numPr>
          <w:ilvl w:val="1"/>
          <w:numId w:val="17"/>
        </w:numPr>
        <w:pBdr>
          <w:top w:val="nil"/>
          <w:left w:val="nil"/>
          <w:bottom w:val="nil"/>
          <w:right w:val="nil"/>
          <w:between w:val="nil"/>
        </w:pBdr>
        <w:ind w:right="49" w:hanging="676"/>
        <w:jc w:val="both"/>
        <w:rPr>
          <w:rFonts w:ascii="Century Gothic" w:eastAsia="Garamond" w:hAnsi="Century Gothic" w:cs="Garamond"/>
          <w:sz w:val="22"/>
          <w:szCs w:val="22"/>
        </w:rPr>
      </w:pPr>
      <w:r w:rsidRPr="00CD7B09">
        <w:rPr>
          <w:rFonts w:ascii="Century Gothic" w:eastAsia="Garamond" w:hAnsi="Century Gothic" w:cs="Garamond"/>
          <w:sz w:val="22"/>
          <w:szCs w:val="22"/>
        </w:rPr>
        <w:t>Ubicación en zonas declaradas de inminente riesgo de desplazamiento o de desplazamiento forzado, en los términos de la Ley 387 de 1997, sus reglamentos y demás normas que la adicionen o modifiquen, salvo que el poseedor que acuda al proceso se encuentre identificado dentro del informe de derechos sobre inmuebles y territorios a los que se refiere el Decreto 1071 de 2015.</w:t>
      </w:r>
    </w:p>
    <w:p w14:paraId="282E2FC1" w14:textId="77777777" w:rsidR="00CB1679" w:rsidRPr="00CD7B09" w:rsidRDefault="00CB1679" w:rsidP="00CB1679">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Century Gothic" w:eastAsia="Garamond" w:hAnsi="Century Gothic" w:cs="Garamond"/>
          <w:sz w:val="22"/>
          <w:szCs w:val="22"/>
        </w:rPr>
      </w:pPr>
    </w:p>
    <w:p w14:paraId="0EEABE0E" w14:textId="77777777" w:rsidR="00CB1679" w:rsidRPr="00CD7B09" w:rsidRDefault="00CB1679" w:rsidP="00CB1679">
      <w:pPr>
        <w:widowControl w:val="0"/>
        <w:numPr>
          <w:ilvl w:val="1"/>
          <w:numId w:val="17"/>
        </w:numPr>
        <w:pBdr>
          <w:top w:val="nil"/>
          <w:left w:val="nil"/>
          <w:bottom w:val="nil"/>
          <w:right w:val="nil"/>
          <w:between w:val="nil"/>
        </w:pBdr>
        <w:ind w:right="49" w:hanging="676"/>
        <w:rPr>
          <w:rFonts w:ascii="Century Gothic" w:eastAsia="Garamond" w:hAnsi="Century Gothic" w:cs="Garamond"/>
          <w:sz w:val="22"/>
          <w:szCs w:val="22"/>
        </w:rPr>
      </w:pPr>
      <w:r w:rsidRPr="00CD7B09">
        <w:rPr>
          <w:rFonts w:ascii="Century Gothic" w:eastAsia="Garamond" w:hAnsi="Century Gothic" w:cs="Garamond"/>
          <w:sz w:val="22"/>
          <w:szCs w:val="22"/>
        </w:rPr>
        <w:t>Destinación a actividades ilícitas.</w:t>
      </w:r>
    </w:p>
    <w:p w14:paraId="5E89E8BD" w14:textId="77777777" w:rsidR="00CB1679" w:rsidRPr="00CD7B09" w:rsidRDefault="00CB1679" w:rsidP="00CB1679">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567"/>
        <w:jc w:val="both"/>
        <w:rPr>
          <w:rFonts w:ascii="Century Gothic" w:eastAsia="Garamond" w:hAnsi="Century Gothic" w:cs="Garamond"/>
          <w:sz w:val="22"/>
          <w:szCs w:val="22"/>
        </w:rPr>
      </w:pPr>
    </w:p>
    <w:p w14:paraId="6BB289B4" w14:textId="77777777" w:rsidR="00CB1679" w:rsidRPr="00CD7B09" w:rsidRDefault="00CB1679" w:rsidP="00CB1679">
      <w:pPr>
        <w:widowControl w:val="0"/>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comunicación a la Agencia Nacional de Tierras, con el fin de actualizar la información en el Registro de Sujetos de Ordenamiento – RESO.</w:t>
      </w:r>
    </w:p>
    <w:p w14:paraId="3B599F93" w14:textId="77777777" w:rsidR="00CB1679" w:rsidRPr="00CD7B09" w:rsidRDefault="00CB1679" w:rsidP="00CB1679">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784B948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r w:rsidRPr="00CD7B09">
        <w:rPr>
          <w:rFonts w:ascii="Century Gothic" w:eastAsia="Garamond" w:hAnsi="Century Gothic" w:cs="Garamond"/>
          <w:b/>
          <w:sz w:val="22"/>
          <w:szCs w:val="22"/>
        </w:rPr>
        <w:t xml:space="preserve">Artículo 51. </w:t>
      </w:r>
      <w:r w:rsidRPr="00CD7B09">
        <w:rPr>
          <w:rFonts w:ascii="Century Gothic" w:eastAsia="Garamond" w:hAnsi="Century Gothic" w:cs="Garamond"/>
          <w:sz w:val="22"/>
          <w:szCs w:val="22"/>
        </w:rPr>
        <w:t>Adiciónese el artículo 421B a la Ley 1564 de 2012, el cual quedará así</w:t>
      </w:r>
    </w:p>
    <w:p w14:paraId="068D0B5C" w14:textId="77777777" w:rsidR="00CB1679" w:rsidRPr="00CD7B09" w:rsidRDefault="00CB1679" w:rsidP="00CB1679">
      <w:pPr>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6BF96A8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Artículo 421B. Notificación y publicidad del auto admisorio de la demanda agraria.</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La notificación del auto admisorio de la demanda se hará en la forma señalada en los artículos 289 a 301 de este Código o en aquella que ordene el juez con la finalidad de otorgarle amplia publicidad y la oportunidad real y efectiva de comparecer al proceso a quienes consideren afectados sus derechos.</w:t>
      </w:r>
    </w:p>
    <w:p w14:paraId="5A78163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4BF9ABF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Parágrafo.</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 xml:space="preserve">En los procesos en los cuales se discutan derechos sobre inmuebles ubicados en suelo rural, el Juez deberá disponer la publicación del auto admisorio de la demanda en el Registro Nacional de Personas Emplazadas de que trata el artículo 108 de este código. </w:t>
      </w:r>
    </w:p>
    <w:p w14:paraId="444767C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0265A5A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Cuando se trate de procesos de pertenencia, adicionalmente se debe surtir la actuación respectiva en el Registro Nacional de Procesos de Pertenencia de que trata el parágrafo 2º del artículo 375 de este código.</w:t>
      </w:r>
    </w:p>
    <w:p w14:paraId="10908F0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14CC8C9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b/>
          <w:sz w:val="22"/>
          <w:szCs w:val="22"/>
        </w:rPr>
      </w:pPr>
      <w:r w:rsidRPr="00CD7B09">
        <w:rPr>
          <w:rFonts w:ascii="Century Gothic" w:eastAsia="Garamond" w:hAnsi="Century Gothic" w:cs="Garamond"/>
          <w:b/>
          <w:sz w:val="22"/>
          <w:szCs w:val="22"/>
        </w:rPr>
        <w:t xml:space="preserve">Artículo 52. </w:t>
      </w:r>
      <w:r w:rsidRPr="00CD7B09">
        <w:rPr>
          <w:rFonts w:ascii="Century Gothic" w:eastAsia="Garamond" w:hAnsi="Century Gothic" w:cs="Garamond"/>
          <w:sz w:val="22"/>
          <w:szCs w:val="22"/>
        </w:rPr>
        <w:t>Adiciónese el artículo 421C a la Ley 1564 de 2012, el cual quedará así:</w:t>
      </w:r>
    </w:p>
    <w:p w14:paraId="063B37E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28DD779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Artículo 421C. Difusión. Sin perjuicio de las reglas de notificación previstas en esta ley, en la Ley 1564 de 2012 y en la Ley 1437 de 2011, las alcaldías municipales dispondrán de espacios físicos, digitales y a través de las emisoras comunitarias, conforme a la normatividad vigente, para la publicación de las citaciones derivadas de los autos admisorios de las demandas que se presenten en los respectivos entes territoriales, cuando se trate de personas que carezcan de medios para asumir los costos de la citación o gocen de amparo de pobreza o se requiera por solicitud de las asociaciones u organizaciones campesinas, sociales o de mujeres.</w:t>
      </w:r>
    </w:p>
    <w:p w14:paraId="53416BF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0FD7BE9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r w:rsidRPr="00CD7B09">
        <w:rPr>
          <w:rFonts w:ascii="Century Gothic" w:eastAsia="Garamond" w:hAnsi="Century Gothic" w:cs="Garamond"/>
          <w:b/>
          <w:sz w:val="22"/>
          <w:szCs w:val="22"/>
        </w:rPr>
        <w:t xml:space="preserve">Artículo 53. </w:t>
      </w:r>
      <w:r w:rsidRPr="00CD7B09">
        <w:rPr>
          <w:rFonts w:ascii="Century Gothic" w:eastAsia="Garamond" w:hAnsi="Century Gothic" w:cs="Garamond"/>
          <w:sz w:val="22"/>
          <w:szCs w:val="22"/>
        </w:rPr>
        <w:t>Adiciónese el artículo 421D a la Ley 1564 de 2012, el cual quedará así:</w:t>
      </w:r>
    </w:p>
    <w:p w14:paraId="62B79B3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38CA908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Artículo 421D. Contestación. La contestación de la demanda se deberá presentar ante el juez dentro de los quince (15) días siguientes a la notificación del auto admisorio, en la forma establecida en el artículo 96 de este código.</w:t>
      </w:r>
    </w:p>
    <w:p w14:paraId="4E186FE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1A8AB6D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r w:rsidRPr="00CD7B09">
        <w:rPr>
          <w:rFonts w:ascii="Century Gothic" w:eastAsia="Garamond" w:hAnsi="Century Gothic" w:cs="Garamond"/>
          <w:b/>
          <w:sz w:val="22"/>
          <w:szCs w:val="22"/>
        </w:rPr>
        <w:t xml:space="preserve">Artículo 54. </w:t>
      </w:r>
      <w:r w:rsidRPr="00CD7B09">
        <w:rPr>
          <w:rFonts w:ascii="Century Gothic" w:eastAsia="Garamond" w:hAnsi="Century Gothic" w:cs="Garamond"/>
          <w:sz w:val="22"/>
          <w:szCs w:val="22"/>
        </w:rPr>
        <w:t>Modifíquese el artículo 169 de la Ley 1564 de 2012, el cual quedará así:</w:t>
      </w:r>
    </w:p>
    <w:p w14:paraId="5695CEA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4C2556A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Artículo 169. Prueba de oficio y a petición de parte. Las pruebas pueden ser decretadas a petición de parte o de oficio cuando sean útiles para la verificación de los hechos relacionados con las alegaciones de las partes. Sin embargo, para decretar de oficio la declaración de testigos será necesario que estos aparezcan mencionados en otras pruebas o en cualquier acto procesal de las partes.</w:t>
      </w:r>
    </w:p>
    <w:p w14:paraId="4F7AF04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3A61C8C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providencias que decreten pruebas de oficio no admiten recurso. Los gastos que implique su práctica serán de cargo de las partes, por igual, sin perjuicio de lo que se resuelva sobre costas.</w:t>
      </w:r>
    </w:p>
    <w:p w14:paraId="5460A8C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Parágrafo uno. Cuando se trate de procesos agrarios y rurales, el juez proferirá auto de decreto de pruebas en el que señalará el término de treinta (30) días para que se practiquen, la fecha de la audiencia pública de pruebas y alegatos, y las diligencias que considere necesarias.</w:t>
      </w:r>
    </w:p>
    <w:p w14:paraId="1B389BE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65C11E0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Cuando el juez lo estime necesario, el término probatorio se podrá prorrogar por treinta (30) días adicionales. </w:t>
      </w:r>
    </w:p>
    <w:p w14:paraId="3CA9756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4C09536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r w:rsidRPr="00CD7B09">
        <w:rPr>
          <w:rFonts w:ascii="Century Gothic" w:eastAsia="Garamond" w:hAnsi="Century Gothic" w:cs="Garamond"/>
          <w:b/>
          <w:sz w:val="22"/>
          <w:szCs w:val="22"/>
        </w:rPr>
        <w:t xml:space="preserve">Artículo 55. </w:t>
      </w:r>
      <w:r w:rsidRPr="00CD7B09">
        <w:rPr>
          <w:rFonts w:ascii="Century Gothic" w:eastAsia="Garamond" w:hAnsi="Century Gothic" w:cs="Garamond"/>
          <w:sz w:val="22"/>
          <w:szCs w:val="22"/>
        </w:rPr>
        <w:t>Adiciónese un parágrafo al artículo 167 de la Ley 1564 de 2012, el cual quedará así:</w:t>
      </w:r>
    </w:p>
    <w:p w14:paraId="1CD224C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44D90E1A"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Artículo 167. Carga de la prueba.</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Incumbe a las partes probar el supuesto de hecho de las normas que consagran el efecto jurídico que ellas persiguen.</w:t>
      </w:r>
    </w:p>
    <w:p w14:paraId="55FEDD4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2D7CB55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el cual se encuentre la contraparte, entre otras circunstancias similares.</w:t>
      </w:r>
    </w:p>
    <w:p w14:paraId="24462A7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32D8F3B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8814"/>
        </w:tabs>
        <w:ind w:left="567" w:right="30"/>
        <w:jc w:val="both"/>
        <w:rPr>
          <w:rFonts w:ascii="Century Gothic" w:eastAsia="Garamond" w:hAnsi="Century Gothic" w:cs="Garamond"/>
          <w:sz w:val="22"/>
          <w:szCs w:val="22"/>
        </w:rPr>
      </w:pPr>
      <w:r w:rsidRPr="00CD7B09">
        <w:rPr>
          <w:rFonts w:ascii="Century Gothic" w:eastAsia="Garamond" w:hAnsi="Century Gothic" w:cs="Garamond"/>
          <w:sz w:val="22"/>
          <w:szCs w:val="22"/>
        </w:rPr>
        <w:t>Parágrafo. En los procesos agrarios y rurales, cuando el juez adopte la decisión a la que se refiere el segundo inciso, que será susceptible de recurso de apelación, otorgará a la parte correspondiente el término necesario para aportar o solicitar la respectiva prueba, la cual se someterá a las reglas de contradicción previstas en este código y respetará las garantías procesales de las partes.</w:t>
      </w:r>
    </w:p>
    <w:p w14:paraId="480AD2C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8814"/>
        </w:tabs>
        <w:ind w:left="567" w:right="49"/>
        <w:jc w:val="both"/>
        <w:rPr>
          <w:rFonts w:ascii="Century Gothic" w:eastAsia="Garamond" w:hAnsi="Century Gothic" w:cs="Garamond"/>
          <w:sz w:val="22"/>
          <w:szCs w:val="22"/>
        </w:rPr>
      </w:pPr>
    </w:p>
    <w:p w14:paraId="6244FC9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8814"/>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Los hechos notorios y las afirmaciones o negaciones indefinidas no requieren prueba.</w:t>
      </w:r>
    </w:p>
    <w:p w14:paraId="0B9A7CE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40B67A2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r w:rsidRPr="00CD7B09">
        <w:rPr>
          <w:rFonts w:ascii="Century Gothic" w:eastAsia="Garamond" w:hAnsi="Century Gothic" w:cs="Garamond"/>
          <w:b/>
          <w:sz w:val="22"/>
          <w:szCs w:val="22"/>
        </w:rPr>
        <w:t xml:space="preserve">Artículo 56. </w:t>
      </w:r>
      <w:r w:rsidRPr="00CD7B09">
        <w:rPr>
          <w:rFonts w:ascii="Century Gothic" w:eastAsia="Garamond" w:hAnsi="Century Gothic" w:cs="Garamond"/>
          <w:sz w:val="22"/>
          <w:szCs w:val="22"/>
        </w:rPr>
        <w:t>Adiciónese un parágrafo al artículo 236 de la Ley 1564 de 2012, el cual quedará así:</w:t>
      </w:r>
    </w:p>
    <w:p w14:paraId="33798BB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58F1483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236. Procedencia de la Inspección. </w:t>
      </w:r>
      <w:r w:rsidRPr="00CD7B09">
        <w:rPr>
          <w:rFonts w:ascii="Century Gothic" w:eastAsia="Garamond" w:hAnsi="Century Gothic" w:cs="Garamond"/>
          <w:sz w:val="22"/>
          <w:szCs w:val="22"/>
        </w:rPr>
        <w:t>Para la verificación o el esclarecimiento de hechos materia del proceso podrá ordenarse, de oficio o a petición de parte, el exámen de personas, lugares, cosas o documentos.</w:t>
      </w:r>
    </w:p>
    <w:p w14:paraId="3B6B447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1D2D3ED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Salvo disposición en contrario, solo se ordenará la inspección cuando sea imposible verificar los hechos por medio de videograbación, fotografías u otros documentos, o mediante dictamen pericial, o por cualquier otro medio de prueba.</w:t>
      </w:r>
    </w:p>
    <w:p w14:paraId="6BD0F39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4A1D726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Cuando exista en el proceso una inspección judicial practicada dentro de él o como prueba extraprocesal con audiencia de todas las partes, no podrá decretarse otra nueva sobre los mismos puntos, a menos que el juez la considere necesaria para aclararlos.</w:t>
      </w:r>
    </w:p>
    <w:p w14:paraId="66BB643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3E014B2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El juez podrá negarse a decretar la inspección si considera que es innecesaria en virtud de otras pruebas que existen en el proceso o que para la verificación de los hechos es suficiente el dictamen de peritos, caso en cual otorgará a la parte interesada el término para presentarlo. Contra estas decisiones del juez no procede recurso.</w:t>
      </w:r>
    </w:p>
    <w:p w14:paraId="52AE077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79604AD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bCs/>
          <w:sz w:val="22"/>
          <w:szCs w:val="22"/>
        </w:rPr>
        <w:t>Parágrafo. En los procesos agrarios y rurales, para la verificación de la identificación del bien inmueble objeto del proceso, los hechos y derechos relacionados, la explotación económica, el cumplimiento del Ordenamiento Social de la Propiedad Rural y el esclarecimiento de los hechos materia del proceso, será procedente la inspección judicial, para ofrecer certeza acerca de las condiciones materiales del predio, sus circunstancias de ocupación, posesión, explotación e identificación predial y demás que fueren objeto de la pretensión y conocimiento del juez competente, para lo cual se tendrá en cuenta si sobre el inmueble se está implementando o se ha implementado las normas de Ordenamiento Social de la Propiedad Rural por parte de la Agencia Nacional de Tierras.</w:t>
      </w:r>
    </w:p>
    <w:p w14:paraId="7E23532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Cs/>
          <w:sz w:val="22"/>
          <w:szCs w:val="22"/>
        </w:rPr>
      </w:pPr>
    </w:p>
    <w:p w14:paraId="2C39B23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bCs/>
          <w:sz w:val="22"/>
          <w:szCs w:val="22"/>
        </w:rPr>
      </w:pPr>
      <w:r w:rsidRPr="00CD7B09">
        <w:rPr>
          <w:rFonts w:ascii="Century Gothic" w:eastAsia="Garamond" w:hAnsi="Century Gothic" w:cs="Helvetica"/>
          <w:bCs/>
          <w:sz w:val="22"/>
          <w:szCs w:val="22"/>
        </w:rPr>
        <w:t>En los procesos agrarios y rurales, la práctica de la prueba deberá correr a cargo de quien la solicita, para lo cual dentro de los diez (10) días siguientes a la notificación del auto que la decreta, deberá sufragar los gastos que conlleva la práctica de esta. De no cancelar el valor correspondiente dentro del término establecido, se entenderá que se desiste de la prueba. Lo dispuesto en el presente inciso respecto del cobro de la prueba, no aplicará a las personas que hayan sido categorizadas como beneficiarios a título gratuito o tengan amparo de pobreza, y de manera proporcional respecto de aquellos que hayan sido categorizados como beneficiarios a título parcialmente gratuito.</w:t>
      </w:r>
    </w:p>
    <w:p w14:paraId="3C75F67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u w:val="single"/>
        </w:rPr>
      </w:pPr>
    </w:p>
    <w:p w14:paraId="147D05F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Cs/>
          <w:sz w:val="22"/>
          <w:szCs w:val="22"/>
        </w:rPr>
      </w:pPr>
      <w:r w:rsidRPr="00CD7B09">
        <w:rPr>
          <w:rFonts w:ascii="Century Gothic" w:eastAsia="Garamond" w:hAnsi="Century Gothic" w:cs="Helvetica"/>
          <w:b/>
          <w:sz w:val="22"/>
          <w:szCs w:val="22"/>
        </w:rPr>
        <w:t>Artículo 57.</w:t>
      </w:r>
      <w:r w:rsidRPr="00CD7B09">
        <w:rPr>
          <w:rFonts w:ascii="Century Gothic" w:eastAsia="Garamond" w:hAnsi="Century Gothic" w:cs="Helvetica"/>
          <w:bCs/>
          <w:sz w:val="22"/>
          <w:szCs w:val="22"/>
        </w:rPr>
        <w:t xml:space="preserve"> Adiciónese un parágrafo al artículo 229 de la Ley 1564 de 2012, el cual quedará así:</w:t>
      </w:r>
    </w:p>
    <w:p w14:paraId="1B5A298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
          <w:sz w:val="22"/>
          <w:szCs w:val="22"/>
          <w:u w:val="single"/>
        </w:rPr>
      </w:pPr>
    </w:p>
    <w:p w14:paraId="6CF6CE6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bCs/>
          <w:sz w:val="22"/>
          <w:szCs w:val="22"/>
        </w:rPr>
        <w:t>Artículo 229.</w:t>
      </w:r>
      <w:r w:rsidRPr="00CD7B09">
        <w:rPr>
          <w:rFonts w:ascii="Century Gothic" w:eastAsia="Garamond" w:hAnsi="Century Gothic" w:cs="Helvetica"/>
          <w:sz w:val="22"/>
          <w:szCs w:val="22"/>
        </w:rPr>
        <w:t xml:space="preserve"> Disposiciones del juez respecto de la prueba pericial. El juez, de oficio o a petición de parte, podrá disponer lo siguiente:</w:t>
      </w:r>
    </w:p>
    <w:p w14:paraId="5358C9B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103E4C6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1. Adoptar las medidas para facilitar la actividad del perito designado por la parte que lo solicite y ordenar a la otra parte prestar la colaboración para la práctica del dictamen, previniéndola sobre las consecuencias de su renuencia.</w:t>
      </w:r>
    </w:p>
    <w:p w14:paraId="4106526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2A950A3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2. Cuando el juez decrete la prueba de oficio o a petición de amparado por pobre, para designar el perito deberá acudir, preferiblemente, a instituciones especializadas públicas o privadas de reconocida trayectoria e idoneidad.</w:t>
      </w:r>
    </w:p>
    <w:p w14:paraId="32B5F26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
          <w:sz w:val="22"/>
          <w:szCs w:val="22"/>
          <w:u w:val="single"/>
        </w:rPr>
      </w:pPr>
    </w:p>
    <w:p w14:paraId="0920BD5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Cs/>
          <w:sz w:val="22"/>
          <w:szCs w:val="22"/>
        </w:rPr>
      </w:pPr>
      <w:r w:rsidRPr="00CD7B09">
        <w:rPr>
          <w:rFonts w:ascii="Century Gothic" w:eastAsia="Garamond" w:hAnsi="Century Gothic" w:cs="Helvetica"/>
          <w:bCs/>
          <w:sz w:val="22"/>
          <w:szCs w:val="22"/>
        </w:rPr>
        <w:t xml:space="preserve">Parágrafo. En los casos de procesos agrarios y rurales, cuando el dictamen pericial sea solicitado o decretado de oficio, el juez o magistrado ponente resolverá de plano la recusación o manifestación de impedimento del perito mediante auto que no tendrá recurso alguno, lo cual se podrá realizar antes de la posesión del perito.   </w:t>
      </w:r>
    </w:p>
    <w:p w14:paraId="480BC83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Cs/>
          <w:sz w:val="22"/>
          <w:szCs w:val="22"/>
        </w:rPr>
      </w:pPr>
    </w:p>
    <w:p w14:paraId="070C75C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Cs/>
          <w:sz w:val="22"/>
          <w:szCs w:val="22"/>
        </w:rPr>
      </w:pPr>
      <w:r w:rsidRPr="00CD7B09">
        <w:rPr>
          <w:rFonts w:ascii="Century Gothic" w:eastAsia="Garamond" w:hAnsi="Century Gothic" w:cs="Helvetica"/>
          <w:bCs/>
          <w:sz w:val="22"/>
          <w:szCs w:val="22"/>
        </w:rPr>
        <w:t>El perito designado será posesionado con las advertencias de ley y previo juramento.</w:t>
      </w:r>
    </w:p>
    <w:p w14:paraId="040FACB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Cs/>
          <w:sz w:val="22"/>
          <w:szCs w:val="22"/>
        </w:rPr>
      </w:pPr>
      <w:r w:rsidRPr="00CD7B09">
        <w:rPr>
          <w:rFonts w:ascii="Century Gothic" w:eastAsia="Garamond" w:hAnsi="Century Gothic" w:cs="Helvetica"/>
          <w:bCs/>
          <w:sz w:val="22"/>
          <w:szCs w:val="22"/>
        </w:rPr>
        <w:t xml:space="preserve">Si es del caso, el juez o magistrado ponente ordenará a la parte que solicitó el dictamen que le suministre al perito lo necesario para viáticos y gastos de la pericia, dentro del término que al efecto señale. Este término podrá ser prorrogado por una sola vez. </w:t>
      </w:r>
    </w:p>
    <w:p w14:paraId="686286C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bCs/>
          <w:sz w:val="22"/>
          <w:szCs w:val="22"/>
        </w:rPr>
      </w:pPr>
    </w:p>
    <w:p w14:paraId="26D9825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Cs/>
          <w:sz w:val="22"/>
          <w:szCs w:val="22"/>
        </w:rPr>
      </w:pPr>
      <w:r w:rsidRPr="00CD7B09">
        <w:rPr>
          <w:rFonts w:ascii="Century Gothic" w:eastAsia="Garamond" w:hAnsi="Century Gothic" w:cs="Helvetica"/>
          <w:bCs/>
          <w:sz w:val="22"/>
          <w:szCs w:val="22"/>
        </w:rPr>
        <w:t xml:space="preserve">Si quien pidió el dictamen no consigna las sumas ordenadas dentro del término otorgado, se entenderá que desiste de la prueba. </w:t>
      </w:r>
    </w:p>
    <w:p w14:paraId="016B369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u w:val="single"/>
        </w:rPr>
      </w:pPr>
    </w:p>
    <w:p w14:paraId="09198AD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
          <w:sz w:val="22"/>
          <w:szCs w:val="22"/>
        </w:rPr>
      </w:pPr>
      <w:r w:rsidRPr="00CD7B09">
        <w:rPr>
          <w:rFonts w:ascii="Century Gothic" w:eastAsia="Garamond" w:hAnsi="Century Gothic" w:cs="Helvetica"/>
          <w:b/>
          <w:sz w:val="22"/>
          <w:szCs w:val="22"/>
        </w:rPr>
        <w:t xml:space="preserve">Artículo 58. </w:t>
      </w:r>
      <w:r w:rsidRPr="00CD7B09">
        <w:rPr>
          <w:rFonts w:ascii="Century Gothic" w:eastAsia="Garamond" w:hAnsi="Century Gothic" w:cs="Helvetica"/>
          <w:sz w:val="22"/>
          <w:szCs w:val="22"/>
        </w:rPr>
        <w:t>Adiciónese el artículo 421</w:t>
      </w:r>
      <w:r w:rsidRPr="00CD7B09">
        <w:rPr>
          <w:rFonts w:ascii="Century Gothic" w:eastAsia="Garamond" w:hAnsi="Century Gothic" w:cs="Helvetica"/>
          <w:bCs/>
          <w:sz w:val="22"/>
          <w:szCs w:val="22"/>
        </w:rPr>
        <w:t>E</w:t>
      </w:r>
      <w:r w:rsidRPr="00CD7B09">
        <w:rPr>
          <w:rFonts w:ascii="Century Gothic" w:eastAsia="Garamond" w:hAnsi="Century Gothic" w:cs="Helvetica"/>
          <w:sz w:val="22"/>
          <w:szCs w:val="22"/>
        </w:rPr>
        <w:t xml:space="preserve"> a la Ley 1564 de 2012, el cual quedará así:</w:t>
      </w:r>
    </w:p>
    <w:p w14:paraId="33F0CB2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u w:val="single"/>
        </w:rPr>
      </w:pPr>
    </w:p>
    <w:p w14:paraId="37AE631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Artículo 421</w:t>
      </w:r>
      <w:r w:rsidRPr="00CD7B09">
        <w:rPr>
          <w:rFonts w:ascii="Century Gothic" w:eastAsia="Garamond" w:hAnsi="Century Gothic" w:cs="Helvetica"/>
          <w:bCs/>
          <w:sz w:val="22"/>
          <w:szCs w:val="22"/>
        </w:rPr>
        <w:t>E</w:t>
      </w:r>
      <w:r w:rsidRPr="00CD7B09">
        <w:rPr>
          <w:rFonts w:ascii="Century Gothic" w:eastAsia="Garamond" w:hAnsi="Century Gothic" w:cs="Helvetica"/>
          <w:sz w:val="22"/>
          <w:szCs w:val="22"/>
        </w:rPr>
        <w:t xml:space="preserve">. Contradicción del dictamen pericial a solicitud de parte o decretado de oficio. En estos casos, se seguirán las siguientes reglas: </w:t>
      </w:r>
    </w:p>
    <w:p w14:paraId="381CF36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p>
    <w:p w14:paraId="49B206C3" w14:textId="77777777" w:rsidR="00CB1679" w:rsidRPr="00CD7B09" w:rsidRDefault="00CB1679" w:rsidP="00CB1679">
      <w:pPr>
        <w:pStyle w:val="Prrafodelista"/>
        <w:widowControl w:val="0"/>
        <w:numPr>
          <w:ilvl w:val="3"/>
          <w:numId w:val="18"/>
        </w:numPr>
        <w:pBdr>
          <w:top w:val="nil"/>
          <w:left w:val="nil"/>
          <w:bottom w:val="nil"/>
          <w:right w:val="nil"/>
          <w:between w:val="nil"/>
          <w:bar w:val="nil"/>
        </w:pBdr>
        <w:spacing w:after="160" w:line="259" w:lineRule="auto"/>
        <w:ind w:left="895" w:right="49" w:hanging="474"/>
        <w:contextualSpacing w:val="0"/>
        <w:jc w:val="both"/>
        <w:rPr>
          <w:rFonts w:ascii="Century Gothic" w:eastAsia="Garamond" w:hAnsi="Century Gothic" w:cs="Helvetica"/>
        </w:rPr>
      </w:pPr>
      <w:r w:rsidRPr="00CD7B09">
        <w:rPr>
          <w:rFonts w:ascii="Century Gothic" w:eastAsia="Garamond" w:hAnsi="Century Gothic" w:cs="Helvetica"/>
        </w:rPr>
        <w:t>Rendido el dictamen, se correrá traslado a las partes por un término de cinco (5) días hábiles, dentro del cual aquellas podrán solicitar aclaraciones o complementaciones. Si se solicitan aclaraciones o complementaciones al dictamen se dispondrá que el perito las realice en el término que se fije y una vez presentadas se correrá traslado de estas a las partes, por un término de tres (3) días.</w:t>
      </w:r>
    </w:p>
    <w:p w14:paraId="4DBA52F6" w14:textId="77777777" w:rsidR="00CB1679" w:rsidRPr="00CD7B09" w:rsidRDefault="00CB1679" w:rsidP="00CB1679">
      <w:pPr>
        <w:pStyle w:val="Prrafodelista"/>
        <w:widowControl w:val="0"/>
        <w:numPr>
          <w:ilvl w:val="3"/>
          <w:numId w:val="18"/>
        </w:numPr>
        <w:pBdr>
          <w:top w:val="nil"/>
          <w:left w:val="nil"/>
          <w:bottom w:val="nil"/>
          <w:right w:val="nil"/>
          <w:between w:val="nil"/>
          <w:bar w:val="nil"/>
        </w:pBdr>
        <w:spacing w:after="160" w:line="259" w:lineRule="auto"/>
        <w:ind w:left="895" w:right="49" w:hanging="474"/>
        <w:contextualSpacing w:val="0"/>
        <w:jc w:val="both"/>
        <w:rPr>
          <w:rFonts w:ascii="Century Gothic" w:eastAsia="Garamond" w:hAnsi="Century Gothic" w:cs="Helvetica"/>
        </w:rPr>
      </w:pPr>
      <w:r w:rsidRPr="00CD7B09">
        <w:rPr>
          <w:rFonts w:ascii="Century Gothic" w:eastAsia="Garamond" w:hAnsi="Century Gothic" w:cs="Helvetica"/>
        </w:rPr>
        <w:t>En ningún caso habrá lugar a trámite especial de objeción del dictamen por error grave. Con el fin de controvertirlo, dentro del término de su traslado, o del de sus aclaraciones o complementaciones, las partes podrán presentar dictamen pericial o testigos técnicos que, habiendo tenido participación en los hechos materia del proceso, tengan conocimientos profesionales o especializados en la materia. Excepcionalmente, el juez, de oficio o a petición de parte, podrá convocar a los peritos a la audiencia pública de pruebas y alegatos, quienes deberán concurrir obligatoriamente y podrán ser interrogados por el juez y por las partes con fines de contradicción.</w:t>
      </w:r>
      <w:r w:rsidRPr="00CD7B09">
        <w:rPr>
          <w:rFonts w:ascii="Century Gothic" w:eastAsia="Garamond" w:hAnsi="Century Gothic" w:cs="Helvetica"/>
          <w:u w:val="single"/>
        </w:rPr>
        <w:t xml:space="preserve"> </w:t>
      </w:r>
    </w:p>
    <w:p w14:paraId="000D855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u w:val="single"/>
        </w:rPr>
      </w:pPr>
    </w:p>
    <w:p w14:paraId="21C0B8D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
          <w:sz w:val="22"/>
          <w:szCs w:val="22"/>
        </w:rPr>
      </w:pPr>
      <w:r w:rsidRPr="00CD7B09">
        <w:rPr>
          <w:rFonts w:ascii="Century Gothic" w:eastAsia="Garamond" w:hAnsi="Century Gothic" w:cs="Helvetica"/>
          <w:b/>
          <w:sz w:val="22"/>
          <w:szCs w:val="22"/>
        </w:rPr>
        <w:t>Parágrafo.</w:t>
      </w:r>
      <w:r w:rsidRPr="00CD7B09">
        <w:rPr>
          <w:rFonts w:ascii="Century Gothic" w:eastAsia="Garamond" w:hAnsi="Century Gothic" w:cs="Helvetica"/>
          <w:sz w:val="22"/>
          <w:szCs w:val="22"/>
        </w:rPr>
        <w:t xml:space="preserve"> En los casos en que el dictamen pericial fuere rendido por una autoridad pública, sea aportado o solicitado por las partes o decretado de oficio, se prescindirá de la audiencia, salvo que el juez la estime indispensable.</w:t>
      </w:r>
    </w:p>
    <w:p w14:paraId="797EE07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p>
    <w:p w14:paraId="1376726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
          <w:sz w:val="22"/>
          <w:szCs w:val="22"/>
        </w:rPr>
      </w:pPr>
      <w:r w:rsidRPr="00CD7B09">
        <w:rPr>
          <w:rFonts w:ascii="Century Gothic" w:eastAsia="Garamond" w:hAnsi="Century Gothic" w:cs="Helvetica"/>
          <w:b/>
          <w:sz w:val="22"/>
          <w:szCs w:val="22"/>
        </w:rPr>
        <w:t xml:space="preserve">Artículo 59. </w:t>
      </w:r>
      <w:r w:rsidRPr="00CD7B09">
        <w:rPr>
          <w:rFonts w:ascii="Century Gothic" w:eastAsia="Garamond" w:hAnsi="Century Gothic" w:cs="Helvetica"/>
          <w:sz w:val="22"/>
          <w:szCs w:val="22"/>
        </w:rPr>
        <w:t>Adiciónese el artículo 421</w:t>
      </w:r>
      <w:r w:rsidRPr="00CD7B09">
        <w:rPr>
          <w:rFonts w:ascii="Century Gothic" w:eastAsia="Garamond" w:hAnsi="Century Gothic" w:cs="Helvetica"/>
          <w:bCs/>
          <w:sz w:val="22"/>
          <w:szCs w:val="22"/>
        </w:rPr>
        <w:t>F</w:t>
      </w:r>
      <w:r w:rsidRPr="00CD7B09">
        <w:rPr>
          <w:rFonts w:ascii="Century Gothic" w:eastAsia="Garamond" w:hAnsi="Century Gothic" w:cs="Helvetica"/>
          <w:sz w:val="22"/>
          <w:szCs w:val="22"/>
        </w:rPr>
        <w:t xml:space="preserve"> a la Ley 1564 de 2012, el cual quedará así:</w:t>
      </w:r>
    </w:p>
    <w:p w14:paraId="42108BC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
          <w:sz w:val="22"/>
          <w:szCs w:val="22"/>
          <w:u w:val="single"/>
        </w:rPr>
      </w:pPr>
    </w:p>
    <w:p w14:paraId="0FD006E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Artículo 421</w:t>
      </w:r>
      <w:r w:rsidRPr="00CD7B09">
        <w:rPr>
          <w:rFonts w:ascii="Century Gothic" w:eastAsia="Garamond" w:hAnsi="Century Gothic" w:cs="Helvetica"/>
          <w:bCs/>
          <w:sz w:val="22"/>
          <w:szCs w:val="22"/>
        </w:rPr>
        <w:t>F</w:t>
      </w:r>
      <w:r w:rsidRPr="00CD7B09">
        <w:rPr>
          <w:rFonts w:ascii="Century Gothic" w:eastAsia="Garamond" w:hAnsi="Century Gothic" w:cs="Helvetica"/>
          <w:sz w:val="22"/>
          <w:szCs w:val="22"/>
        </w:rPr>
        <w:t xml:space="preserve">. Honorarios del perito. Practicado el dictamen pericial y surtida la contradicción de este, el juez fijará los honorarios del perito mediante auto. </w:t>
      </w:r>
      <w:r w:rsidRPr="00CD7B09">
        <w:rPr>
          <w:rFonts w:ascii="Century Gothic" w:eastAsia="Garamond" w:hAnsi="Century Gothic" w:cs="Helvetica"/>
          <w:sz w:val="22"/>
          <w:szCs w:val="22"/>
          <w:u w:val="single"/>
        </w:rPr>
        <w:t xml:space="preserve"> </w:t>
      </w:r>
    </w:p>
    <w:p w14:paraId="3AA56DB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u w:val="single"/>
        </w:rPr>
      </w:pPr>
    </w:p>
    <w:p w14:paraId="776EB5E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 xml:space="preserve">La parte que haya solicitado el dictamen pericial asumirá el pago de los honorarios del perito. Cuando el dictamen sea decretado de oficio corresponderá su pago a las partes en igual proporción. En el evento en que una de las partes no pague lo que le corresponde, la otra parte podrá asumir dicho pago. </w:t>
      </w:r>
    </w:p>
    <w:p w14:paraId="6D4485F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u w:val="single"/>
        </w:rPr>
      </w:pPr>
      <w:r w:rsidRPr="00CD7B09">
        <w:rPr>
          <w:rFonts w:ascii="Century Gothic" w:eastAsia="Garamond" w:hAnsi="Century Gothic" w:cs="Helvetica"/>
          <w:sz w:val="22"/>
          <w:szCs w:val="22"/>
          <w:u w:val="single"/>
        </w:rPr>
        <w:t xml:space="preserve">  </w:t>
      </w:r>
    </w:p>
    <w:p w14:paraId="78D4B0C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 xml:space="preserve">Parágrafo 1º. De conformidad con lo indicado en el numeral 21 del artículo 85 de la Ley 270 de 1996, el Consejo Superior de la Judicatura mantendrá un listado debidamente actualizado de peritos en todas las áreas del conocimiento que se requieran. Se garantizará que quien integre la lista tenga los conocimientos, la idoneidad, la experiencia y la disponibilidad para rendir el dictamen. Igualmente, establecerá los parámetros y tarifas para la remuneración de los servicios prestados por los peritos de acuerdo con los precios del mercado para los servicios de cada profesión. En el caso de que se trate de un asunto de especial complejidad, la autoridad judicial podrá fijar los honorarios al perito sin sujeción a la tarifa oficial.     </w:t>
      </w:r>
    </w:p>
    <w:p w14:paraId="128F480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u w:val="single"/>
        </w:rPr>
      </w:pPr>
    </w:p>
    <w:p w14:paraId="1DCAAD6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Parágrafo 2º. El pago de honorarios, gastos y viáticos no aplicará a las personas que hayan sido categorizadas como beneficiarias a título gratuito o tengan amparo de pobreza, y de manera proporcional respecto de aquellas que hayan sido categorizadas como beneficiarias a título parcialmente gratuito.</w:t>
      </w:r>
    </w:p>
    <w:p w14:paraId="036BFEA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u w:val="single"/>
        </w:rPr>
      </w:pPr>
    </w:p>
    <w:p w14:paraId="6113F34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
          <w:sz w:val="22"/>
          <w:szCs w:val="22"/>
        </w:rPr>
      </w:pPr>
      <w:r w:rsidRPr="00CD7B09">
        <w:rPr>
          <w:rFonts w:ascii="Century Gothic" w:eastAsia="Garamond" w:hAnsi="Century Gothic" w:cs="Helvetica"/>
          <w:b/>
          <w:sz w:val="22"/>
          <w:szCs w:val="22"/>
        </w:rPr>
        <w:t xml:space="preserve">Artículo 60. </w:t>
      </w:r>
      <w:r w:rsidRPr="00CD7B09">
        <w:rPr>
          <w:rFonts w:ascii="Century Gothic" w:eastAsia="Garamond" w:hAnsi="Century Gothic" w:cs="Helvetica"/>
          <w:sz w:val="22"/>
          <w:szCs w:val="22"/>
        </w:rPr>
        <w:t>Adiciónese el artículo 421</w:t>
      </w:r>
      <w:r w:rsidRPr="00CD7B09">
        <w:rPr>
          <w:rFonts w:ascii="Century Gothic" w:eastAsia="Garamond" w:hAnsi="Century Gothic" w:cs="Helvetica"/>
          <w:bCs/>
          <w:sz w:val="22"/>
          <w:szCs w:val="22"/>
        </w:rPr>
        <w:t xml:space="preserve">G </w:t>
      </w:r>
      <w:r w:rsidRPr="00CD7B09">
        <w:rPr>
          <w:rFonts w:ascii="Century Gothic" w:eastAsia="Garamond" w:hAnsi="Century Gothic" w:cs="Helvetica"/>
          <w:sz w:val="22"/>
          <w:szCs w:val="22"/>
        </w:rPr>
        <w:t>a la Ley 1564 de 2012, el cual quedará así:</w:t>
      </w:r>
    </w:p>
    <w:p w14:paraId="5569AD2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
          <w:sz w:val="22"/>
          <w:szCs w:val="22"/>
        </w:rPr>
      </w:pPr>
    </w:p>
    <w:p w14:paraId="5223DB3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1"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Artículo 421</w:t>
      </w:r>
      <w:r w:rsidRPr="00CD7B09">
        <w:rPr>
          <w:rFonts w:ascii="Century Gothic" w:eastAsia="Garamond" w:hAnsi="Century Gothic" w:cs="Helvetica"/>
          <w:bCs/>
          <w:sz w:val="22"/>
          <w:szCs w:val="22"/>
        </w:rPr>
        <w:t>G</w:t>
      </w:r>
      <w:r w:rsidRPr="00CD7B09">
        <w:rPr>
          <w:rFonts w:ascii="Century Gothic" w:eastAsia="Garamond" w:hAnsi="Century Gothic" w:cs="Helvetica"/>
          <w:sz w:val="22"/>
          <w:szCs w:val="22"/>
        </w:rPr>
        <w:t>. Reglas especiales para las entidades públicas. Para aportar el dictamen pericial o contradecirlo, se faculta a las entidades públicas para que mediante contratación directa seleccionen los expertos que atenderán la prueba pericial requerida en un proceso judicial. Esta pericia también podrá ser contratada durante las restricciones establecidas en la Ley 996 de 2005.</w:t>
      </w:r>
    </w:p>
    <w:p w14:paraId="449E0CC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1" w:right="49"/>
        <w:jc w:val="both"/>
        <w:rPr>
          <w:rFonts w:ascii="Century Gothic" w:eastAsia="Garamond" w:hAnsi="Century Gothic" w:cs="Helvetica"/>
          <w:sz w:val="22"/>
          <w:szCs w:val="22"/>
        </w:rPr>
      </w:pPr>
    </w:p>
    <w:p w14:paraId="7E5DC7F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1"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 xml:space="preserve">En los anteriores términos se modifica la Ley 80 de 1993, en lo relativo a la contratación directa para la pericia judicial.  </w:t>
      </w:r>
    </w:p>
    <w:p w14:paraId="6ECC86F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1" w:right="49"/>
        <w:jc w:val="both"/>
        <w:rPr>
          <w:rFonts w:ascii="Century Gothic" w:eastAsia="Garamond" w:hAnsi="Century Gothic" w:cs="Helvetica"/>
          <w:sz w:val="22"/>
          <w:szCs w:val="22"/>
        </w:rPr>
      </w:pPr>
    </w:p>
    <w:p w14:paraId="3761F1D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1"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Cuando la experticia sea rendida por una entidad pública el juez deberá ordenar honorarios a favor de esta.</w:t>
      </w:r>
    </w:p>
    <w:p w14:paraId="4386BB2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u w:val="single"/>
        </w:rPr>
      </w:pPr>
    </w:p>
    <w:p w14:paraId="22C704B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
          <w:sz w:val="22"/>
          <w:szCs w:val="22"/>
        </w:rPr>
      </w:pPr>
      <w:r w:rsidRPr="00CD7B09">
        <w:rPr>
          <w:rFonts w:ascii="Century Gothic" w:eastAsia="Garamond" w:hAnsi="Century Gothic" w:cs="Helvetica"/>
          <w:b/>
          <w:sz w:val="22"/>
          <w:szCs w:val="22"/>
        </w:rPr>
        <w:t xml:space="preserve">Artículo 61. </w:t>
      </w:r>
      <w:r w:rsidRPr="00CD7B09">
        <w:rPr>
          <w:rFonts w:ascii="Century Gothic" w:eastAsia="Garamond" w:hAnsi="Century Gothic" w:cs="Helvetica"/>
          <w:sz w:val="22"/>
          <w:szCs w:val="22"/>
        </w:rPr>
        <w:t>Adiciónese el artículo 421</w:t>
      </w:r>
      <w:r w:rsidRPr="00CD7B09">
        <w:rPr>
          <w:rFonts w:ascii="Century Gothic" w:eastAsia="Garamond" w:hAnsi="Century Gothic" w:cs="Helvetica"/>
          <w:bCs/>
          <w:sz w:val="22"/>
          <w:szCs w:val="22"/>
        </w:rPr>
        <w:t>H</w:t>
      </w:r>
      <w:r w:rsidRPr="00CD7B09">
        <w:rPr>
          <w:rFonts w:ascii="Century Gothic" w:eastAsia="Garamond" w:hAnsi="Century Gothic" w:cs="Helvetica"/>
          <w:sz w:val="22"/>
          <w:szCs w:val="22"/>
        </w:rPr>
        <w:t xml:space="preserve"> a la Ley 1564 de 2012, el cual quedará así:</w:t>
      </w:r>
    </w:p>
    <w:p w14:paraId="480D8F4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4B3DFDEB"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Artículo 421</w:t>
      </w:r>
      <w:r w:rsidRPr="00CD7B09">
        <w:rPr>
          <w:rFonts w:ascii="Century Gothic" w:eastAsia="Garamond" w:hAnsi="Century Gothic" w:cs="Helvetica"/>
          <w:bCs/>
          <w:sz w:val="22"/>
          <w:szCs w:val="22"/>
        </w:rPr>
        <w:t>H</w:t>
      </w:r>
      <w:r w:rsidRPr="00CD7B09">
        <w:rPr>
          <w:rFonts w:ascii="Century Gothic" w:eastAsia="Garamond" w:hAnsi="Century Gothic" w:cs="Helvetica"/>
          <w:sz w:val="22"/>
          <w:szCs w:val="22"/>
        </w:rPr>
        <w:t>. Audiencia pública de pruebas y alegatos. El juez instalará la audiencia pública de pruebas y alegatos con la presencia de los apoderados de las partes, quienes deberán acudir obligatoriamente. También podrán asistir las partes, terceros y demás intervinientes.</w:t>
      </w:r>
    </w:p>
    <w:p w14:paraId="2442EE8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p>
    <w:p w14:paraId="36C54F7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Previo a la práctica de pruebas, el juez decidirá de oficio o a petición de parte sobre los vicios que se hayan presentado y adoptará las medidas de saneamiento necesarias para evitar sentencias inhibitorias.</w:t>
      </w:r>
    </w:p>
    <w:p w14:paraId="4A86585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p>
    <w:p w14:paraId="1EF76F0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A continuación, el juez requerirá a las partes y a sus apoderados para que determinen los hechos en los que están de acuerdo y que fueren susceptibles de prueba de confesión. Cuando sea procedente, fijará el objeto del litigio, precisará los hechos que considera demostrados y rechazará las pruebas decretadas que estime innecesarias.</w:t>
      </w:r>
    </w:p>
    <w:p w14:paraId="156B113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p>
    <w:p w14:paraId="47807B98" w14:textId="77777777" w:rsidR="00CB1679" w:rsidRPr="00CD7B09" w:rsidRDefault="00CB1679" w:rsidP="00CB1679">
      <w:pPr>
        <w:widowControl w:val="0"/>
        <w:pBdr>
          <w:top w:val="nil"/>
          <w:left w:val="nil"/>
          <w:bottom w:val="nil"/>
          <w:right w:val="nil"/>
          <w:between w:val="nil"/>
        </w:pBdr>
        <w:ind w:right="49" w:firstLine="567"/>
        <w:jc w:val="both"/>
        <w:rPr>
          <w:rFonts w:ascii="Century Gothic" w:eastAsia="Garamond" w:hAnsi="Century Gothic" w:cs="Helvetica"/>
          <w:sz w:val="22"/>
          <w:szCs w:val="22"/>
        </w:rPr>
      </w:pPr>
      <w:r w:rsidRPr="00CD7B09">
        <w:rPr>
          <w:rFonts w:ascii="Century Gothic" w:eastAsia="Garamond" w:hAnsi="Century Gothic" w:cs="Helvetica"/>
          <w:sz w:val="22"/>
          <w:szCs w:val="22"/>
        </w:rPr>
        <w:t>Luego, practicará las demás pruebas de la siguiente manera:</w:t>
      </w:r>
    </w:p>
    <w:p w14:paraId="27123F6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0" w:right="49"/>
        <w:jc w:val="both"/>
        <w:rPr>
          <w:rFonts w:ascii="Century Gothic" w:eastAsia="Garamond" w:hAnsi="Century Gothic" w:cs="Helvetica"/>
          <w:sz w:val="22"/>
          <w:szCs w:val="22"/>
        </w:rPr>
      </w:pPr>
    </w:p>
    <w:p w14:paraId="0217FDD6" w14:textId="77777777" w:rsidR="00CB1679" w:rsidRPr="00CD7B09" w:rsidRDefault="00CB1679" w:rsidP="00CB1679">
      <w:pPr>
        <w:widowControl w:val="0"/>
        <w:numPr>
          <w:ilvl w:val="0"/>
          <w:numId w:val="19"/>
        </w:numPr>
        <w:pBdr>
          <w:top w:val="nil"/>
          <w:left w:val="nil"/>
          <w:bottom w:val="nil"/>
          <w:right w:val="nil"/>
          <w:between w:val="nil"/>
        </w:pBdr>
        <w:spacing w:after="160" w:line="259" w:lineRule="auto"/>
        <w:ind w:right="49" w:hanging="252"/>
        <w:jc w:val="both"/>
        <w:rPr>
          <w:rFonts w:ascii="Century Gothic" w:eastAsia="Garamond" w:hAnsi="Century Gothic" w:cs="Helvetica"/>
          <w:sz w:val="22"/>
          <w:szCs w:val="22"/>
        </w:rPr>
      </w:pPr>
      <w:r w:rsidRPr="00CD7B09">
        <w:rPr>
          <w:rFonts w:ascii="Century Gothic" w:eastAsia="Garamond" w:hAnsi="Century Gothic" w:cs="Helvetica"/>
          <w:sz w:val="22"/>
          <w:szCs w:val="22"/>
        </w:rPr>
        <w:t xml:space="preserve">El interrogatorio a los peritos que hayan sido citados a la audiencia, de oficio o a solicitud de parte. </w:t>
      </w:r>
    </w:p>
    <w:p w14:paraId="6D71A7EC" w14:textId="77777777" w:rsidR="00CB1679" w:rsidRPr="00CD7B09" w:rsidRDefault="00CB1679" w:rsidP="00CB1679">
      <w:pPr>
        <w:widowControl w:val="0"/>
        <w:pBdr>
          <w:top w:val="nil"/>
          <w:left w:val="nil"/>
          <w:bottom w:val="nil"/>
          <w:right w:val="nil"/>
          <w:between w:val="nil"/>
        </w:pBdr>
        <w:ind w:left="850" w:right="49"/>
        <w:jc w:val="both"/>
        <w:rPr>
          <w:rFonts w:ascii="Century Gothic" w:eastAsia="Garamond" w:hAnsi="Century Gothic" w:cs="Helvetica"/>
          <w:sz w:val="22"/>
          <w:szCs w:val="22"/>
        </w:rPr>
      </w:pPr>
    </w:p>
    <w:p w14:paraId="3C43F6E2" w14:textId="77777777" w:rsidR="00CB1679" w:rsidRPr="00CD7B09" w:rsidRDefault="00CB1679" w:rsidP="00CB1679">
      <w:pPr>
        <w:widowControl w:val="0"/>
        <w:numPr>
          <w:ilvl w:val="0"/>
          <w:numId w:val="19"/>
        </w:numPr>
        <w:pBdr>
          <w:top w:val="nil"/>
          <w:left w:val="nil"/>
          <w:bottom w:val="nil"/>
          <w:right w:val="nil"/>
          <w:between w:val="nil"/>
        </w:pBdr>
        <w:spacing w:after="160" w:line="259" w:lineRule="auto"/>
        <w:ind w:right="49" w:hanging="252"/>
        <w:jc w:val="both"/>
        <w:rPr>
          <w:rFonts w:ascii="Century Gothic" w:eastAsia="Garamond" w:hAnsi="Century Gothic" w:cs="Helvetica"/>
          <w:sz w:val="22"/>
          <w:szCs w:val="22"/>
        </w:rPr>
      </w:pPr>
      <w:r w:rsidRPr="00CD7B09">
        <w:rPr>
          <w:rFonts w:ascii="Century Gothic" w:eastAsia="Garamond" w:hAnsi="Century Gothic" w:cs="Helvetica"/>
          <w:sz w:val="22"/>
          <w:szCs w:val="22"/>
        </w:rPr>
        <w:t>Las declaraciones de los testigos que se encuentren presentes.</w:t>
      </w:r>
    </w:p>
    <w:p w14:paraId="1663071C" w14:textId="77777777" w:rsidR="00CB1679" w:rsidRPr="00CD7B09" w:rsidRDefault="00CB1679" w:rsidP="00CB1679">
      <w:pPr>
        <w:widowControl w:val="0"/>
        <w:pBdr>
          <w:top w:val="nil"/>
          <w:left w:val="nil"/>
          <w:bottom w:val="nil"/>
          <w:right w:val="nil"/>
          <w:between w:val="nil"/>
        </w:pBdr>
        <w:ind w:left="850" w:right="49"/>
        <w:jc w:val="both"/>
        <w:rPr>
          <w:rFonts w:ascii="Century Gothic" w:eastAsia="Garamond" w:hAnsi="Century Gothic" w:cs="Helvetica"/>
          <w:sz w:val="22"/>
          <w:szCs w:val="22"/>
        </w:rPr>
      </w:pPr>
    </w:p>
    <w:p w14:paraId="701469D4" w14:textId="77777777" w:rsidR="00CB1679" w:rsidRPr="00CD7B09" w:rsidRDefault="00CB1679" w:rsidP="00CB1679">
      <w:pPr>
        <w:widowControl w:val="0"/>
        <w:numPr>
          <w:ilvl w:val="0"/>
          <w:numId w:val="19"/>
        </w:numPr>
        <w:pBdr>
          <w:top w:val="nil"/>
          <w:left w:val="nil"/>
          <w:bottom w:val="nil"/>
          <w:right w:val="nil"/>
          <w:between w:val="nil"/>
        </w:pBdr>
        <w:spacing w:after="160" w:line="259" w:lineRule="auto"/>
        <w:ind w:right="49" w:hanging="252"/>
        <w:jc w:val="both"/>
        <w:rPr>
          <w:rFonts w:ascii="Century Gothic" w:eastAsia="Garamond" w:hAnsi="Century Gothic" w:cs="Helvetica"/>
          <w:sz w:val="22"/>
          <w:szCs w:val="22"/>
        </w:rPr>
      </w:pPr>
      <w:r w:rsidRPr="00CD7B09">
        <w:rPr>
          <w:rFonts w:ascii="Century Gothic" w:eastAsia="Garamond" w:hAnsi="Century Gothic" w:cs="Helvetica"/>
          <w:sz w:val="22"/>
          <w:szCs w:val="22"/>
        </w:rPr>
        <w:t>La exhibición de los documentos y las demás pruebas que hubieren sido decretadas y practicadas.</w:t>
      </w:r>
    </w:p>
    <w:p w14:paraId="5A2CCDB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p>
    <w:p w14:paraId="03DDE93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Practicadas las pruebas se oirán los alegatos de las partes, primero al demandante y luego al demandado, y posteriormente a los demás intervinientes, por el tiempo que el juez estime necesario. Una vez escuchados los alegatos el juez finalizará la audiencia.</w:t>
      </w:r>
    </w:p>
    <w:p w14:paraId="73497C4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p>
    <w:p w14:paraId="6530EB8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Parágrafo 1º. La inasistencia de los apoderados a esta audiencia sólo podrá excusarse mediante prueba sumaria de una justa causa.</w:t>
      </w:r>
    </w:p>
    <w:p w14:paraId="20C8AE7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p>
    <w:p w14:paraId="4DDA51A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Parágrafo 2º. En cualquier etapa de la audiencia el juez podrá invitar a las partes a conciliar sus diferencias.</w:t>
      </w:r>
    </w:p>
    <w:p w14:paraId="4B7AD9D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43030D9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
          <w:sz w:val="22"/>
          <w:szCs w:val="22"/>
        </w:rPr>
      </w:pPr>
      <w:r w:rsidRPr="00CD7B09">
        <w:rPr>
          <w:rFonts w:ascii="Century Gothic" w:eastAsia="Garamond" w:hAnsi="Century Gothic" w:cs="Helvetica"/>
          <w:b/>
          <w:sz w:val="22"/>
          <w:szCs w:val="22"/>
        </w:rPr>
        <w:t xml:space="preserve">Artículo 62. </w:t>
      </w:r>
      <w:r w:rsidRPr="00CD7B09">
        <w:rPr>
          <w:rFonts w:ascii="Century Gothic" w:eastAsia="Garamond" w:hAnsi="Century Gothic" w:cs="Helvetica"/>
          <w:sz w:val="22"/>
          <w:szCs w:val="22"/>
        </w:rPr>
        <w:t>Adiciónese el artículo 421</w:t>
      </w:r>
      <w:r w:rsidRPr="00CD7B09">
        <w:rPr>
          <w:rFonts w:ascii="Century Gothic" w:eastAsia="Garamond" w:hAnsi="Century Gothic" w:cs="Helvetica"/>
          <w:bCs/>
          <w:sz w:val="22"/>
          <w:szCs w:val="22"/>
        </w:rPr>
        <w:t>I</w:t>
      </w:r>
      <w:r w:rsidRPr="00CD7B09">
        <w:rPr>
          <w:rFonts w:ascii="Century Gothic" w:eastAsia="Garamond" w:hAnsi="Century Gothic" w:cs="Helvetica"/>
          <w:sz w:val="22"/>
          <w:szCs w:val="22"/>
        </w:rPr>
        <w:t xml:space="preserve"> a la Ley 1564 de 2012, el cual quedará así:</w:t>
      </w:r>
    </w:p>
    <w:p w14:paraId="672CBAC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Helvetica"/>
          <w:sz w:val="22"/>
          <w:szCs w:val="22"/>
        </w:rPr>
      </w:pPr>
    </w:p>
    <w:p w14:paraId="3A059612" w14:textId="11775F29"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Artículo 421</w:t>
      </w:r>
      <w:r w:rsidRPr="00CD7B09">
        <w:rPr>
          <w:rFonts w:ascii="Century Gothic" w:eastAsia="Garamond" w:hAnsi="Century Gothic" w:cs="Helvetica"/>
          <w:bCs/>
          <w:sz w:val="22"/>
          <w:szCs w:val="22"/>
        </w:rPr>
        <w:t>I</w:t>
      </w:r>
      <w:r w:rsidRPr="00CD7B09">
        <w:rPr>
          <w:rFonts w:ascii="Century Gothic" w:eastAsia="Garamond" w:hAnsi="Century Gothic" w:cs="Helvetica"/>
          <w:sz w:val="22"/>
          <w:szCs w:val="22"/>
        </w:rPr>
        <w:t xml:space="preserve">. Sentencia. El juez proferirá sentencia dentro de los treinta (30) días siguientes a la audiencia pública, conforme al artículo 280 y al parágrafo segundo del artículo 281 de la Ley 1564 de 2012. Igualmente, atenderá lo dispuesto en </w:t>
      </w:r>
      <w:r w:rsidRPr="00CD7B09">
        <w:rPr>
          <w:rFonts w:ascii="Century Gothic" w:eastAsia="Garamond" w:hAnsi="Century Gothic" w:cs="Garamond"/>
          <w:sz w:val="22"/>
          <w:szCs w:val="22"/>
        </w:rPr>
        <w:t xml:space="preserve">el parágrafo 2 del artículo 281 de la Ley 1564 de 2012, </w:t>
      </w:r>
      <w:r w:rsidRPr="00CD7B09">
        <w:rPr>
          <w:rFonts w:ascii="Century Gothic" w:eastAsia="Garamond" w:hAnsi="Century Gothic" w:cs="Helvetica"/>
          <w:sz w:val="22"/>
          <w:szCs w:val="22"/>
        </w:rPr>
        <w:t>respecto a la posibilidad de fallar “ultra o extra petita”.</w:t>
      </w:r>
    </w:p>
    <w:p w14:paraId="035AF21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Helvetica"/>
          <w:sz w:val="22"/>
          <w:szCs w:val="22"/>
        </w:rPr>
      </w:pPr>
    </w:p>
    <w:p w14:paraId="5306A6D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Ejecutoriada la sentencia su cumplimiento será inmediato. En todo caso, el juez mantendrá la competencia para garantizar el goce efectivo de los derechos reconocidos en la sentencia, prosiguiéndose dentro del mismo expediente las medidas de ejecución que sean necesarias, en procura de cuya eficacia las autoridades administrativas tendrán el deber de prestar el apoyo que solicite el juez, conforme a esta Ley, así como de acuerdo con las disposiciones establecidas para el efecto en la Ley 1564 de 2012.</w:t>
      </w:r>
    </w:p>
    <w:p w14:paraId="413A4B7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Helvetica"/>
          <w:sz w:val="22"/>
          <w:szCs w:val="22"/>
        </w:rPr>
      </w:pPr>
    </w:p>
    <w:p w14:paraId="746DB5C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Parágrafo 1º. Incurrirá en causal de mala conducta el funcionario que omita o retarde injustificadamente el cumplimiento de las órdenes contenidas en el fallo o no brinde al juez el apoyo requerido por éste para la ejecución de la sentencia.</w:t>
      </w:r>
    </w:p>
    <w:p w14:paraId="2FE43B5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p>
    <w:p w14:paraId="61C51F3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Parágrafo 2º.</w:t>
      </w:r>
      <w:r w:rsidRPr="00CD7B09">
        <w:rPr>
          <w:rFonts w:ascii="Century Gothic" w:eastAsia="Garamond" w:hAnsi="Century Gothic" w:cs="Helvetica"/>
          <w:b/>
          <w:sz w:val="22"/>
          <w:szCs w:val="22"/>
        </w:rPr>
        <w:t xml:space="preserve"> </w:t>
      </w:r>
      <w:r w:rsidRPr="00CD7B09">
        <w:rPr>
          <w:rFonts w:ascii="Century Gothic" w:eastAsia="Garamond" w:hAnsi="Century Gothic" w:cs="Helvetica"/>
          <w:sz w:val="22"/>
          <w:szCs w:val="22"/>
        </w:rPr>
        <w:t>En la sentencia, el juez o magistrado deberá ordenar la declaración de derechos de propiedad, uso y tenencia de la tierra en favor del beneficiario y de su cónyuge, compañero o compañera permanente, cuando se verifique que este último tiene una relación directa con el predio o como resultado del reconocimiento de su aporte al trabajo agrario y a la economía del cuidado de acuerdo con lo dispuesto en la Ley 1413 de 2010. El juez podrá impartir órdenes catastrales y registrales.    </w:t>
      </w:r>
    </w:p>
    <w:p w14:paraId="624A898B"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608B852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CAPÍTULO VI</w:t>
      </w:r>
    </w:p>
    <w:p w14:paraId="63809D2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Proceso agrario y rural en la especialidad contencioso administrativa</w:t>
      </w:r>
    </w:p>
    <w:p w14:paraId="58190B60"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53D63C8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 xml:space="preserve">Artículo 63. </w:t>
      </w:r>
      <w:r w:rsidRPr="00CD7B09">
        <w:rPr>
          <w:rFonts w:ascii="Century Gothic" w:eastAsia="Garamond" w:hAnsi="Century Gothic" w:cs="Helvetica"/>
          <w:sz w:val="22"/>
          <w:szCs w:val="22"/>
        </w:rPr>
        <w:t>Adiciónese el Título V-A a la Ley 1437 de 2011, el cual quedará así:</w:t>
      </w:r>
    </w:p>
    <w:p w14:paraId="5CDD4BB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Helvetica"/>
          <w:sz w:val="22"/>
          <w:szCs w:val="22"/>
        </w:rPr>
      </w:pPr>
    </w:p>
    <w:p w14:paraId="30AF175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Helvetica"/>
          <w:sz w:val="22"/>
          <w:szCs w:val="22"/>
        </w:rPr>
      </w:pPr>
      <w:r w:rsidRPr="00CD7B09">
        <w:rPr>
          <w:rFonts w:ascii="Century Gothic" w:eastAsia="Garamond" w:hAnsi="Century Gothic" w:cs="Helvetica"/>
          <w:sz w:val="22"/>
          <w:szCs w:val="22"/>
        </w:rPr>
        <w:t xml:space="preserve">TÍTULO V-A </w:t>
      </w:r>
    </w:p>
    <w:p w14:paraId="481FD06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Helvetica"/>
          <w:sz w:val="22"/>
          <w:szCs w:val="22"/>
        </w:rPr>
      </w:pPr>
      <w:r w:rsidRPr="00CD7B09">
        <w:rPr>
          <w:rFonts w:ascii="Century Gothic" w:eastAsia="Garamond" w:hAnsi="Century Gothic" w:cs="Helvetica"/>
          <w:sz w:val="22"/>
          <w:szCs w:val="22"/>
        </w:rPr>
        <w:t>DISPOSICIONES ESPECIALES PARA LA TRAMITACIÓN DE ASUNTOS AGRARIOS Y RURALES.</w:t>
      </w:r>
    </w:p>
    <w:p w14:paraId="078AF12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
          <w:sz w:val="22"/>
          <w:szCs w:val="22"/>
        </w:rPr>
      </w:pPr>
    </w:p>
    <w:p w14:paraId="7852816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
          <w:sz w:val="22"/>
          <w:szCs w:val="22"/>
        </w:rPr>
      </w:pPr>
    </w:p>
    <w:p w14:paraId="103ACED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 xml:space="preserve">Artículo 64. </w:t>
      </w:r>
      <w:r w:rsidRPr="00CD7B09">
        <w:rPr>
          <w:rFonts w:ascii="Century Gothic" w:eastAsia="Garamond" w:hAnsi="Century Gothic" w:cs="Helvetica"/>
          <w:sz w:val="22"/>
          <w:szCs w:val="22"/>
        </w:rPr>
        <w:t>Adiciónese el artículo 247A a la Ley 1437 de 2011, el cual quedará así:</w:t>
      </w:r>
    </w:p>
    <w:p w14:paraId="3B1CFA93"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
          <w:sz w:val="22"/>
          <w:szCs w:val="22"/>
        </w:rPr>
      </w:pPr>
    </w:p>
    <w:p w14:paraId="61C59A4A" w14:textId="77777777" w:rsidR="00CB1679" w:rsidRPr="00CD7B09" w:rsidRDefault="00CB1679" w:rsidP="00CB1679">
      <w:pPr>
        <w:ind w:left="708"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Artículo 247A. Titularidad. Podrán ser parte en el proceso agrario y rural:</w:t>
      </w:r>
    </w:p>
    <w:p w14:paraId="74BCEE42" w14:textId="77777777" w:rsidR="00CB1679" w:rsidRPr="00CD7B09" w:rsidRDefault="00CB1679" w:rsidP="00CB1679">
      <w:pPr>
        <w:ind w:left="708" w:right="49"/>
        <w:jc w:val="both"/>
        <w:rPr>
          <w:rFonts w:ascii="Century Gothic" w:eastAsia="Garamond" w:hAnsi="Century Gothic" w:cs="Helvetica"/>
          <w:sz w:val="22"/>
          <w:szCs w:val="22"/>
        </w:rPr>
      </w:pPr>
    </w:p>
    <w:p w14:paraId="0F0D50F7" w14:textId="77777777" w:rsidR="00CB1679" w:rsidRPr="00CD7B09" w:rsidRDefault="00CB1679" w:rsidP="00CB1679">
      <w:pPr>
        <w:ind w:left="708"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1.</w:t>
      </w:r>
      <w:r w:rsidRPr="00CD7B09">
        <w:rPr>
          <w:rFonts w:ascii="Century Gothic" w:eastAsia="Garamond" w:hAnsi="Century Gothic" w:cs="Helvetica"/>
          <w:sz w:val="22"/>
          <w:szCs w:val="22"/>
        </w:rPr>
        <w:tab/>
        <w:t>Toda persona natural.</w:t>
      </w:r>
    </w:p>
    <w:p w14:paraId="0CE7D84B" w14:textId="77777777" w:rsidR="00CB1679" w:rsidRPr="00CD7B09" w:rsidRDefault="00CB1679" w:rsidP="00CB1679">
      <w:pPr>
        <w:ind w:left="708" w:right="49"/>
        <w:jc w:val="both"/>
        <w:rPr>
          <w:rFonts w:ascii="Century Gothic" w:eastAsia="Garamond" w:hAnsi="Century Gothic" w:cs="Helvetica"/>
          <w:sz w:val="22"/>
          <w:szCs w:val="22"/>
        </w:rPr>
      </w:pPr>
    </w:p>
    <w:p w14:paraId="35617071" w14:textId="77777777" w:rsidR="00CB1679" w:rsidRPr="00CD7B09" w:rsidRDefault="00CB1679" w:rsidP="00CB1679">
      <w:pPr>
        <w:ind w:left="708"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2.</w:t>
      </w:r>
      <w:r w:rsidRPr="00CD7B09">
        <w:rPr>
          <w:rFonts w:ascii="Century Gothic" w:eastAsia="Garamond" w:hAnsi="Century Gothic" w:cs="Helvetica"/>
          <w:sz w:val="22"/>
          <w:szCs w:val="22"/>
        </w:rPr>
        <w:tab/>
        <w:t xml:space="preserve">Toda persona jurídica, de derecho público o privado, siempre que medie poder para actuar debidamente otorgado bajo las formalidades de ley, sin perjuicio de los derechos que les asiste a los interesados. </w:t>
      </w:r>
    </w:p>
    <w:p w14:paraId="7623658E" w14:textId="77777777" w:rsidR="00CB1679" w:rsidRPr="00CD7B09" w:rsidRDefault="00CB1679" w:rsidP="00CB1679">
      <w:pPr>
        <w:ind w:left="708" w:right="49"/>
        <w:jc w:val="both"/>
        <w:rPr>
          <w:rFonts w:ascii="Century Gothic" w:eastAsia="Garamond" w:hAnsi="Century Gothic" w:cs="Helvetica"/>
          <w:sz w:val="22"/>
          <w:szCs w:val="22"/>
        </w:rPr>
      </w:pPr>
    </w:p>
    <w:p w14:paraId="46FBF5D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8"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 xml:space="preserve">3.   </w:t>
      </w:r>
      <w:r w:rsidRPr="00CD7B09">
        <w:rPr>
          <w:rFonts w:ascii="Century Gothic" w:eastAsia="Garamond" w:hAnsi="Century Gothic" w:cs="Helvetica"/>
          <w:bCs/>
          <w:sz w:val="22"/>
          <w:szCs w:val="22"/>
        </w:rPr>
        <w:t xml:space="preserve"> La Agencia Nacional de Tierras.</w:t>
      </w:r>
      <w:r w:rsidRPr="00CD7B09">
        <w:rPr>
          <w:rFonts w:ascii="Century Gothic" w:eastAsia="Garamond" w:hAnsi="Century Gothic" w:cs="Helvetica"/>
          <w:b/>
          <w:sz w:val="22"/>
          <w:szCs w:val="22"/>
          <w:u w:val="single"/>
        </w:rPr>
        <w:t xml:space="preserve"> </w:t>
      </w:r>
    </w:p>
    <w:p w14:paraId="4B14141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8" w:right="49"/>
        <w:jc w:val="both"/>
        <w:rPr>
          <w:rFonts w:ascii="Century Gothic" w:eastAsia="Garamond" w:hAnsi="Century Gothic" w:cs="Helvetica"/>
          <w:sz w:val="22"/>
          <w:szCs w:val="22"/>
        </w:rPr>
      </w:pPr>
    </w:p>
    <w:p w14:paraId="5C53E3BD" w14:textId="77777777" w:rsidR="00CB1679" w:rsidRPr="00CD7B09" w:rsidRDefault="00CB1679" w:rsidP="00CB16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8" w:right="49"/>
        <w:jc w:val="both"/>
        <w:rPr>
          <w:rFonts w:ascii="Century Gothic" w:eastAsia="Garamond" w:hAnsi="Century Gothic" w:cs="Helvetica"/>
          <w:sz w:val="22"/>
          <w:szCs w:val="22"/>
        </w:rPr>
      </w:pPr>
      <w:r w:rsidRPr="00CD7B09">
        <w:rPr>
          <w:rFonts w:ascii="Century Gothic" w:eastAsia="Garamond" w:hAnsi="Century Gothic" w:cs="Helvetica"/>
          <w:bCs/>
          <w:sz w:val="22"/>
          <w:szCs w:val="22"/>
        </w:rPr>
        <w:t xml:space="preserve">4. </w:t>
      </w:r>
      <w:r w:rsidRPr="00CD7B09">
        <w:rPr>
          <w:rFonts w:ascii="Century Gothic" w:eastAsia="Garamond" w:hAnsi="Century Gothic" w:cs="Helvetica"/>
          <w:sz w:val="22"/>
          <w:szCs w:val="22"/>
        </w:rPr>
        <w:t xml:space="preserve">  La Defensoría del Pueblo en nombre de cualquier persona que se encuentre en condición de vulnerabilidad, sin perjuicio del derecho que les asiste a los interesados.</w:t>
      </w:r>
    </w:p>
    <w:p w14:paraId="1954AFA4" w14:textId="77777777" w:rsidR="00CB1679" w:rsidRPr="00CD7B09" w:rsidRDefault="00CB1679" w:rsidP="00CB16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8" w:right="49"/>
        <w:jc w:val="both"/>
        <w:rPr>
          <w:rFonts w:ascii="Century Gothic" w:eastAsia="Garamond" w:hAnsi="Century Gothic" w:cs="Helvetica"/>
          <w:bCs/>
          <w:sz w:val="22"/>
          <w:szCs w:val="22"/>
        </w:rPr>
      </w:pPr>
    </w:p>
    <w:p w14:paraId="60E2E23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Cs/>
          <w:sz w:val="22"/>
          <w:szCs w:val="22"/>
        </w:rPr>
      </w:pPr>
      <w:r w:rsidRPr="00CD7B09">
        <w:rPr>
          <w:rFonts w:ascii="Century Gothic" w:hAnsi="Century Gothic" w:cs="Helvetica"/>
          <w:bCs/>
          <w:sz w:val="22"/>
          <w:szCs w:val="22"/>
        </w:rPr>
        <w:t xml:space="preserve">Parágrafo. Podrán actuar como coadyuvantes en los procedimientos judiciales iniciados, las organizaciones sociales o comunitarias </w:t>
      </w:r>
      <w:r w:rsidRPr="00CD7B09">
        <w:rPr>
          <w:rFonts w:ascii="Century Gothic" w:eastAsia="Garamond" w:hAnsi="Century Gothic" w:cs="Helvetica"/>
          <w:bCs/>
          <w:sz w:val="22"/>
          <w:szCs w:val="22"/>
        </w:rPr>
        <w:t>o de índole similar, en nombre de personas que se encuentren en situación de vulnerabilidad, siempre que medie poder para actuar y sin generar ningún tipo de cobro relacionado con honorarios.</w:t>
      </w:r>
    </w:p>
    <w:p w14:paraId="7B0D6EA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Cs/>
          <w:sz w:val="22"/>
          <w:szCs w:val="22"/>
        </w:rPr>
      </w:pPr>
    </w:p>
    <w:p w14:paraId="4D5B2DF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 xml:space="preserve">Artículo 65. </w:t>
      </w:r>
      <w:r w:rsidRPr="00CD7B09">
        <w:rPr>
          <w:rFonts w:ascii="Century Gothic" w:eastAsia="Garamond" w:hAnsi="Century Gothic" w:cs="Helvetica"/>
          <w:sz w:val="22"/>
          <w:szCs w:val="22"/>
        </w:rPr>
        <w:t>Adiciónese el artículo 247A a la Ley 1437 de 2011, el cual quedará así:</w:t>
      </w:r>
    </w:p>
    <w:p w14:paraId="3DFE9420"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Helvetica"/>
          <w:b/>
          <w:sz w:val="22"/>
          <w:szCs w:val="22"/>
        </w:rPr>
      </w:pPr>
    </w:p>
    <w:p w14:paraId="6A856916"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Artículo 247A. Titularidad. Podrán ser parte en el proceso agrario y rural:</w:t>
      </w:r>
    </w:p>
    <w:p w14:paraId="1B1D6C8D" w14:textId="77777777" w:rsidR="00CB1679" w:rsidRPr="00CD7B09" w:rsidRDefault="00CB1679" w:rsidP="00CB1679">
      <w:pPr>
        <w:pStyle w:val="Prrafodelista"/>
        <w:numPr>
          <w:ilvl w:val="0"/>
          <w:numId w:val="78"/>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60" w:line="259" w:lineRule="auto"/>
        <w:ind w:right="49"/>
        <w:jc w:val="both"/>
        <w:rPr>
          <w:rFonts w:ascii="Century Gothic" w:eastAsia="Garamond" w:hAnsi="Century Gothic" w:cs="Helvetica"/>
        </w:rPr>
      </w:pPr>
      <w:r w:rsidRPr="00CD7B09">
        <w:rPr>
          <w:rFonts w:ascii="Century Gothic" w:eastAsia="Garamond" w:hAnsi="Century Gothic" w:cs="Helvetica"/>
        </w:rPr>
        <w:t xml:space="preserve"> Toda persona natural o jurídica.</w:t>
      </w:r>
    </w:p>
    <w:p w14:paraId="52DA24DA" w14:textId="77777777" w:rsidR="00CB1679" w:rsidRPr="00CD7B09" w:rsidRDefault="00CB1679" w:rsidP="00CB1679">
      <w:pPr>
        <w:widowControl w:val="0"/>
        <w:numPr>
          <w:ilvl w:val="0"/>
          <w:numId w:val="78"/>
        </w:numPr>
        <w:pBdr>
          <w:top w:val="nil"/>
          <w:left w:val="nil"/>
          <w:bottom w:val="nil"/>
          <w:right w:val="nil"/>
          <w:between w:val="nil"/>
        </w:pBdr>
        <w:spacing w:after="160" w:line="259" w:lineRule="auto"/>
        <w:ind w:left="993" w:right="49" w:hanging="360"/>
        <w:jc w:val="both"/>
        <w:rPr>
          <w:rFonts w:ascii="Century Gothic" w:eastAsia="Garamond" w:hAnsi="Century Gothic" w:cs="Helvetica"/>
          <w:sz w:val="22"/>
          <w:szCs w:val="22"/>
        </w:rPr>
      </w:pPr>
      <w:r w:rsidRPr="00CD7B09">
        <w:rPr>
          <w:rFonts w:ascii="Century Gothic" w:eastAsia="Garamond" w:hAnsi="Century Gothic" w:cs="Helvetica"/>
          <w:sz w:val="22"/>
          <w:szCs w:val="22"/>
        </w:rPr>
        <w:t>Toda persona natural o jurídica, de derecho público o privado, incluidas las organizaciones sociales, comunitarias, de mujeres, cívicas o de índole similar En nombre de cualquier persona que se encuentre en situación de vulnerabilidad, siempre que medie poder para actuar debidamente otorgado bajo las formalidades de ley, sin perjuicio de los derechos que les asiste a los interesados.</w:t>
      </w:r>
    </w:p>
    <w:p w14:paraId="15C4B1EA" w14:textId="77777777" w:rsidR="00CB1679" w:rsidRPr="00CD7B09" w:rsidRDefault="00CB1679" w:rsidP="00CB1679">
      <w:pPr>
        <w:widowControl w:val="0"/>
        <w:numPr>
          <w:ilvl w:val="0"/>
          <w:numId w:val="78"/>
        </w:numPr>
        <w:pBdr>
          <w:top w:val="nil"/>
          <w:left w:val="nil"/>
          <w:bottom w:val="nil"/>
          <w:right w:val="nil"/>
          <w:between w:val="nil"/>
        </w:pBdr>
        <w:spacing w:after="160" w:line="259" w:lineRule="auto"/>
        <w:ind w:left="993" w:right="49" w:hanging="360"/>
        <w:jc w:val="both"/>
        <w:rPr>
          <w:rFonts w:ascii="Century Gothic" w:eastAsia="Garamond" w:hAnsi="Century Gothic" w:cs="Helvetica"/>
          <w:sz w:val="22"/>
          <w:szCs w:val="22"/>
        </w:rPr>
      </w:pPr>
      <w:r w:rsidRPr="00CD7B09">
        <w:rPr>
          <w:rFonts w:ascii="Century Gothic" w:eastAsia="Garamond" w:hAnsi="Century Gothic" w:cs="Helvetica"/>
          <w:sz w:val="22"/>
          <w:szCs w:val="22"/>
        </w:rPr>
        <w:t>La Defensoría del Pueblo en nombre de cualquier persona que se encuentre en condición de vulnerabilidad, sin perjuicio del derecho que les asiste a los interesados.</w:t>
      </w:r>
    </w:p>
    <w:p w14:paraId="35EA150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
          <w:sz w:val="22"/>
          <w:szCs w:val="22"/>
        </w:rPr>
      </w:pPr>
    </w:p>
    <w:p w14:paraId="7034ADA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 xml:space="preserve">Artículo 66. </w:t>
      </w:r>
      <w:r w:rsidRPr="00CD7B09">
        <w:rPr>
          <w:rFonts w:ascii="Century Gothic" w:eastAsia="Garamond" w:hAnsi="Century Gothic" w:cs="Helvetica"/>
          <w:sz w:val="22"/>
          <w:szCs w:val="22"/>
        </w:rPr>
        <w:t>Adiciónese el artículo 247B a la Ley 1437 de 2011, el cual quedará así:</w:t>
      </w:r>
    </w:p>
    <w:p w14:paraId="2FF64418" w14:textId="77777777" w:rsidR="00CB1679" w:rsidRPr="00CD7B09" w:rsidRDefault="00CB1679" w:rsidP="00CB1679">
      <w:pPr>
        <w:pStyle w:val="Prrafodelista"/>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288" w:right="49"/>
        <w:rPr>
          <w:rFonts w:ascii="Century Gothic" w:eastAsia="Garamond" w:hAnsi="Century Gothic" w:cs="Helvetica"/>
        </w:rPr>
      </w:pPr>
    </w:p>
    <w:p w14:paraId="159F2C8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929"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Artículo 247B. Derecho de postulación. Quienes comparezcan al proceso deberán hacerlo conforme a lo establecido en los artículos 73 y siguientes de la Ley 1564 de 2012, salvo en la aprobación de las actas de conciliación.</w:t>
      </w:r>
    </w:p>
    <w:p w14:paraId="167D034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929" w:right="49"/>
        <w:jc w:val="both"/>
        <w:rPr>
          <w:rFonts w:ascii="Century Gothic" w:eastAsia="Garamond" w:hAnsi="Century Gothic" w:cs="Helvetica"/>
          <w:sz w:val="22"/>
          <w:szCs w:val="22"/>
        </w:rPr>
      </w:pPr>
    </w:p>
    <w:p w14:paraId="54F37D6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929"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Respecto de las entidades públicas se aplicará lo dispuesto en el artículo 160 de este código.</w:t>
      </w:r>
    </w:p>
    <w:p w14:paraId="1C1EC49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929"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Parágrafo.</w:t>
      </w:r>
      <w:r w:rsidRPr="00CD7B09">
        <w:rPr>
          <w:rFonts w:ascii="Century Gothic" w:eastAsia="Garamond" w:hAnsi="Century Gothic" w:cs="Helvetica"/>
          <w:b/>
          <w:sz w:val="22"/>
          <w:szCs w:val="22"/>
        </w:rPr>
        <w:t xml:space="preserve"> </w:t>
      </w:r>
      <w:r w:rsidRPr="00CD7B09">
        <w:rPr>
          <w:rFonts w:ascii="Century Gothic" w:eastAsia="Garamond" w:hAnsi="Century Gothic" w:cs="Helvetica"/>
          <w:sz w:val="22"/>
          <w:szCs w:val="22"/>
        </w:rPr>
        <w:t>Las asociaciones campesinas, las organizaciones sociales y las comunidades podrán ejercer asesoría, acompañamiento y coadyuvancia, a fin de procurar el reconocimiento y la protección de los derechos involucrados en el proceso.</w:t>
      </w:r>
    </w:p>
    <w:p w14:paraId="63699FF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
          <w:sz w:val="22"/>
          <w:szCs w:val="22"/>
        </w:rPr>
      </w:pPr>
    </w:p>
    <w:p w14:paraId="662A93E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 xml:space="preserve">Artículo 67. </w:t>
      </w:r>
      <w:r w:rsidRPr="00CD7B09">
        <w:rPr>
          <w:rFonts w:ascii="Century Gothic" w:eastAsia="Garamond" w:hAnsi="Century Gothic" w:cs="Helvetica"/>
          <w:sz w:val="22"/>
          <w:szCs w:val="22"/>
        </w:rPr>
        <w:t>Adiciónese el artículo 247C a la Ley 1437 de 2011, el cual quedará así:</w:t>
      </w:r>
    </w:p>
    <w:p w14:paraId="0A79089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Helvetica"/>
          <w:b/>
          <w:sz w:val="22"/>
          <w:szCs w:val="22"/>
        </w:rPr>
      </w:pPr>
    </w:p>
    <w:p w14:paraId="604A81FC"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Artículo 247C. Presentación de la demanda y su contestación. La presentación de la demanda y su contestación se regirá por las normas establecidas en el artículo 82 y siguientes de la Ley 1564 de 2012, sin perjuicio de las disposiciones especiales establecidas en este capítulo.</w:t>
      </w:r>
    </w:p>
    <w:p w14:paraId="25697C30"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5ACDF68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 xml:space="preserve">Artículo 68. </w:t>
      </w:r>
      <w:r w:rsidRPr="00CD7B09">
        <w:rPr>
          <w:rFonts w:ascii="Century Gothic" w:eastAsia="Garamond" w:hAnsi="Century Gothic" w:cs="Helvetica"/>
          <w:sz w:val="22"/>
          <w:szCs w:val="22"/>
        </w:rPr>
        <w:t>Adiciónese el Artículo 247D a la Ley 1437 de 2011, el cual quedará así:</w:t>
      </w:r>
    </w:p>
    <w:p w14:paraId="2A77A8F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4B9A7C66"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Artículo 247D. Requisitos de la demanda. Además de los requisitos establecidos en el artículo 162 de este código, la demanda deberá indicar:</w:t>
      </w:r>
    </w:p>
    <w:p w14:paraId="00A33F6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p>
    <w:p w14:paraId="11C33C6A" w14:textId="77777777" w:rsidR="00CB1679" w:rsidRPr="00CD7B09" w:rsidRDefault="00CB1679" w:rsidP="00CB1679">
      <w:pPr>
        <w:widowControl w:val="0"/>
        <w:numPr>
          <w:ilvl w:val="0"/>
          <w:numId w:val="79"/>
        </w:numPr>
        <w:pBdr>
          <w:top w:val="nil"/>
          <w:left w:val="nil"/>
          <w:bottom w:val="nil"/>
          <w:right w:val="nil"/>
          <w:between w:val="nil"/>
        </w:pBdr>
        <w:spacing w:after="160" w:line="259" w:lineRule="auto"/>
        <w:ind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Cuando se trate de la impugnación de un acto administrativo, las normas presuntamente vulneradas y explicarse el concepto de su violación.</w:t>
      </w:r>
    </w:p>
    <w:p w14:paraId="09F16FA0" w14:textId="77777777" w:rsidR="00CB1679" w:rsidRPr="00CD7B09" w:rsidRDefault="00CB1679" w:rsidP="00CB1679">
      <w:pPr>
        <w:widowControl w:val="0"/>
        <w:pBdr>
          <w:top w:val="nil"/>
          <w:left w:val="nil"/>
          <w:bottom w:val="nil"/>
          <w:right w:val="nil"/>
          <w:between w:val="nil"/>
        </w:pBdr>
        <w:ind w:left="819" w:right="49"/>
        <w:jc w:val="both"/>
        <w:rPr>
          <w:rFonts w:ascii="Century Gothic" w:eastAsia="Garamond" w:hAnsi="Century Gothic" w:cs="Helvetica"/>
          <w:sz w:val="22"/>
          <w:szCs w:val="22"/>
        </w:rPr>
      </w:pPr>
    </w:p>
    <w:p w14:paraId="0E540630" w14:textId="77777777" w:rsidR="00CB1679" w:rsidRPr="00CD7B09" w:rsidRDefault="00CB1679" w:rsidP="00CB1679">
      <w:pPr>
        <w:widowControl w:val="0"/>
        <w:numPr>
          <w:ilvl w:val="0"/>
          <w:numId w:val="79"/>
        </w:numPr>
        <w:pBdr>
          <w:top w:val="nil"/>
          <w:left w:val="nil"/>
          <w:bottom w:val="nil"/>
          <w:right w:val="nil"/>
          <w:between w:val="nil"/>
        </w:pBdr>
        <w:spacing w:after="160" w:line="259" w:lineRule="auto"/>
        <w:ind w:right="49"/>
        <w:jc w:val="both"/>
        <w:rPr>
          <w:rFonts w:ascii="Century Gothic" w:eastAsia="Garamond" w:hAnsi="Century Gothic" w:cs="Helvetica"/>
          <w:sz w:val="22"/>
          <w:szCs w:val="22"/>
        </w:rPr>
      </w:pPr>
      <w:r w:rsidRPr="00CD7B09">
        <w:rPr>
          <w:rFonts w:ascii="Century Gothic" w:eastAsia="Garamond" w:hAnsi="Century Gothic" w:cs="Helvetica"/>
          <w:bCs/>
          <w:sz w:val="22"/>
          <w:szCs w:val="22"/>
        </w:rPr>
        <w:t>Cuando verse sobre bienes inmuebles, l</w:t>
      </w:r>
      <w:r w:rsidRPr="00CD7B09">
        <w:rPr>
          <w:rFonts w:ascii="Century Gothic" w:eastAsia="Garamond" w:hAnsi="Century Gothic" w:cs="Helvetica"/>
          <w:sz w:val="22"/>
          <w:szCs w:val="22"/>
        </w:rPr>
        <w:t>a identificación del predio, que deberá incluir los siguientes datos: ubicación (departamento, municipio o corregimiento), colindantes actuales, el nombre con el cual se conoce el predio en la región, identificación registral, número de la matrícula inmobiliaria, identificación catastral y número de la cédula catastral, cuando estas existieran.</w:t>
      </w:r>
    </w:p>
    <w:p w14:paraId="487E0BFB" w14:textId="77777777" w:rsidR="00CB1679" w:rsidRPr="00CD7B09" w:rsidRDefault="00CB1679" w:rsidP="00CB1679">
      <w:pPr>
        <w:widowControl w:val="0"/>
        <w:pBdr>
          <w:top w:val="nil"/>
          <w:left w:val="nil"/>
          <w:bottom w:val="nil"/>
          <w:right w:val="nil"/>
          <w:between w:val="nil"/>
        </w:pBdr>
        <w:ind w:right="49"/>
        <w:jc w:val="both"/>
        <w:rPr>
          <w:rFonts w:ascii="Century Gothic" w:eastAsia="Garamond" w:hAnsi="Century Gothic" w:cs="Helvetica"/>
          <w:sz w:val="22"/>
          <w:szCs w:val="22"/>
        </w:rPr>
      </w:pPr>
    </w:p>
    <w:p w14:paraId="269E88A5" w14:textId="77777777" w:rsidR="00CB1679" w:rsidRPr="00CD7B09" w:rsidRDefault="00CB1679" w:rsidP="00CB1679">
      <w:pPr>
        <w:widowControl w:val="0"/>
        <w:numPr>
          <w:ilvl w:val="0"/>
          <w:numId w:val="79"/>
        </w:numPr>
        <w:pBdr>
          <w:top w:val="nil"/>
          <w:left w:val="nil"/>
          <w:bottom w:val="nil"/>
          <w:right w:val="nil"/>
          <w:between w:val="nil"/>
        </w:pBdr>
        <w:spacing w:after="160" w:line="259" w:lineRule="auto"/>
        <w:ind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La información de los procedimientos administrativos o procesos judiciales que se adelanten respecto del predio, de los cuales tenga conocimiento el demandante.</w:t>
      </w:r>
    </w:p>
    <w:p w14:paraId="2AECE5A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p>
    <w:p w14:paraId="5D33FF7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Helvetica"/>
          <w:sz w:val="22"/>
          <w:szCs w:val="22"/>
        </w:rPr>
        <w:t>Parágrafo. Las acciones agrarias se podrán presentar en los formatos que para tal efecto autorice el Consejo Superior de la Judicatura, los cuales serán en todo caso gratuitos.</w:t>
      </w:r>
    </w:p>
    <w:p w14:paraId="2EDCDF2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6A69FAB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 xml:space="preserve">Artículo 69. </w:t>
      </w:r>
      <w:r w:rsidRPr="00CD7B09">
        <w:rPr>
          <w:rFonts w:ascii="Century Gothic" w:eastAsia="Garamond" w:hAnsi="Century Gothic" w:cs="Helvetica"/>
          <w:sz w:val="22"/>
          <w:szCs w:val="22"/>
        </w:rPr>
        <w:t>Adiciónese el artículo 247E a la Ley 1437 de 2011, el cual quedará así:</w:t>
      </w:r>
    </w:p>
    <w:p w14:paraId="7EC3271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1FC0D3C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Artículo 247E. Anexos de la demanda. Además de los establecidos en la Ley 1564 de 2012 y/o en este código, de acuerdo con la naturaleza del asunto, la demanda deberá acompañarse de los siguientes anexos:</w:t>
      </w:r>
    </w:p>
    <w:p w14:paraId="4388B14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Helvetica"/>
          <w:sz w:val="22"/>
          <w:szCs w:val="22"/>
        </w:rPr>
      </w:pPr>
    </w:p>
    <w:p w14:paraId="6E06285D" w14:textId="77777777" w:rsidR="00CB1679" w:rsidRPr="00CD7B09" w:rsidRDefault="00CB1679" w:rsidP="00CB1679">
      <w:pPr>
        <w:widowControl w:val="0"/>
        <w:numPr>
          <w:ilvl w:val="0"/>
          <w:numId w:val="80"/>
        </w:numPr>
        <w:pBdr>
          <w:top w:val="nil"/>
          <w:left w:val="nil"/>
          <w:bottom w:val="nil"/>
          <w:right w:val="nil"/>
          <w:between w:val="nil"/>
        </w:pBdr>
        <w:spacing w:after="160" w:line="259" w:lineRule="auto"/>
        <w:ind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En los asuntos en los cuales la demanda sea presentada por la Agencia Nacional de Tierras, ésta deberá aportar copia del informe técnico jurídico al que se refiere el Decreto Ley 902 de 2017 y de los demás documentos que integren el expediente, acopiados en desarrollo del procedimiento administrativo.</w:t>
      </w:r>
    </w:p>
    <w:p w14:paraId="7D4778B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rPr>
          <w:rFonts w:ascii="Century Gothic" w:eastAsia="Garamond" w:hAnsi="Century Gothic" w:cs="Helvetica"/>
          <w:sz w:val="22"/>
          <w:szCs w:val="22"/>
        </w:rPr>
      </w:pPr>
    </w:p>
    <w:p w14:paraId="39EFB55D" w14:textId="77777777" w:rsidR="00CB1679" w:rsidRPr="00CD7B09" w:rsidRDefault="00CB1679" w:rsidP="00CB1679">
      <w:pPr>
        <w:widowControl w:val="0"/>
        <w:numPr>
          <w:ilvl w:val="0"/>
          <w:numId w:val="80"/>
        </w:numPr>
        <w:pBdr>
          <w:top w:val="nil"/>
          <w:left w:val="nil"/>
          <w:bottom w:val="nil"/>
          <w:right w:val="nil"/>
          <w:between w:val="nil"/>
        </w:pBdr>
        <w:spacing w:after="160" w:line="259" w:lineRule="auto"/>
        <w:ind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Copia del acto acusado con su constancia de ejecutoria. Si se alega el silencio administrativo, las pruebas que lo demuestren.</w:t>
      </w:r>
    </w:p>
    <w:p w14:paraId="3C0D8E5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rPr>
          <w:rFonts w:ascii="Century Gothic" w:eastAsia="Garamond" w:hAnsi="Century Gothic" w:cs="Helvetica"/>
          <w:sz w:val="22"/>
          <w:szCs w:val="22"/>
        </w:rPr>
      </w:pPr>
    </w:p>
    <w:p w14:paraId="6F1BA754" w14:textId="77777777" w:rsidR="00CB1679" w:rsidRPr="00CD7B09" w:rsidRDefault="00CB1679" w:rsidP="00CB1679">
      <w:pPr>
        <w:widowControl w:val="0"/>
        <w:numPr>
          <w:ilvl w:val="0"/>
          <w:numId w:val="80"/>
        </w:numPr>
        <w:pBdr>
          <w:top w:val="nil"/>
          <w:left w:val="nil"/>
          <w:bottom w:val="nil"/>
          <w:right w:val="nil"/>
          <w:between w:val="nil"/>
        </w:pBdr>
        <w:spacing w:after="160" w:line="259" w:lineRule="auto"/>
        <w:ind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 xml:space="preserve"> Cuando el acto no ha sido publicado o se deniega la copia o la certificación sobre su publicación, se expresará así en la demanda bajo juramento que se considerará prestado por su presentación, con la indicación de la oficina donde se encuentre el original o el periódico, gaceta o boletín en que se hubiere publicado de acuerdo con la ley, a fin de que se solicite por el juez antes de la admisión de la demanda. Igualmente, se podrá indicar que el acto demandado se encuentra en el sitio web de la respectiva entidad para todos los fines legales.</w:t>
      </w:r>
    </w:p>
    <w:p w14:paraId="12EF3309" w14:textId="77777777" w:rsidR="00CB1679" w:rsidRPr="00CD7B09" w:rsidRDefault="00CB1679" w:rsidP="00CB1679">
      <w:pPr>
        <w:widowControl w:val="0"/>
        <w:pBdr>
          <w:top w:val="nil"/>
          <w:left w:val="nil"/>
          <w:bottom w:val="nil"/>
          <w:right w:val="nil"/>
          <w:between w:val="nil"/>
        </w:pBdr>
        <w:ind w:left="819" w:right="49"/>
        <w:jc w:val="both"/>
        <w:rPr>
          <w:rFonts w:ascii="Century Gothic" w:eastAsia="Garamond" w:hAnsi="Century Gothic" w:cs="Helvetica"/>
          <w:sz w:val="22"/>
          <w:szCs w:val="22"/>
        </w:rPr>
      </w:pPr>
    </w:p>
    <w:p w14:paraId="7D859AEF" w14:textId="77777777" w:rsidR="00CB1679" w:rsidRPr="00CD7B09" w:rsidRDefault="00CB1679" w:rsidP="00CB1679">
      <w:pPr>
        <w:widowControl w:val="0"/>
        <w:numPr>
          <w:ilvl w:val="0"/>
          <w:numId w:val="80"/>
        </w:numPr>
        <w:pBdr>
          <w:top w:val="nil"/>
          <w:left w:val="nil"/>
          <w:bottom w:val="nil"/>
          <w:right w:val="nil"/>
          <w:between w:val="nil"/>
        </w:pBdr>
        <w:spacing w:after="160" w:line="259" w:lineRule="auto"/>
        <w:ind w:right="49"/>
        <w:rPr>
          <w:rFonts w:ascii="Century Gothic" w:eastAsia="Garamond" w:hAnsi="Century Gothic" w:cs="Helvetica"/>
          <w:sz w:val="22"/>
          <w:szCs w:val="22"/>
        </w:rPr>
      </w:pPr>
      <w:r w:rsidRPr="00CD7B09">
        <w:rPr>
          <w:rFonts w:ascii="Century Gothic" w:eastAsia="Garamond" w:hAnsi="Century Gothic" w:cs="Helvetica"/>
          <w:sz w:val="22"/>
          <w:szCs w:val="22"/>
        </w:rPr>
        <w:t>La prueba que acredite el carácter con que el actor se presenta al proceso.</w:t>
      </w:r>
    </w:p>
    <w:p w14:paraId="0995CBA6" w14:textId="77777777" w:rsidR="00CB1679" w:rsidRPr="00CD7B09" w:rsidRDefault="00CB1679" w:rsidP="00CB1679">
      <w:pPr>
        <w:widowControl w:val="0"/>
        <w:pBdr>
          <w:top w:val="nil"/>
          <w:left w:val="nil"/>
          <w:bottom w:val="nil"/>
          <w:right w:val="nil"/>
          <w:between w:val="nil"/>
        </w:pBdr>
        <w:ind w:left="819" w:right="49"/>
        <w:rPr>
          <w:rFonts w:ascii="Century Gothic" w:eastAsia="Garamond" w:hAnsi="Century Gothic" w:cs="Helvetica"/>
          <w:sz w:val="22"/>
          <w:szCs w:val="22"/>
        </w:rPr>
      </w:pPr>
    </w:p>
    <w:p w14:paraId="52B2467E" w14:textId="77777777" w:rsidR="00CB1679" w:rsidRPr="00CD7B09" w:rsidRDefault="00CB1679" w:rsidP="00CB1679">
      <w:pPr>
        <w:widowControl w:val="0"/>
        <w:numPr>
          <w:ilvl w:val="0"/>
          <w:numId w:val="80"/>
        </w:numPr>
        <w:pBdr>
          <w:top w:val="nil"/>
          <w:left w:val="nil"/>
          <w:bottom w:val="nil"/>
          <w:right w:val="nil"/>
          <w:between w:val="nil"/>
        </w:pBdr>
        <w:spacing w:after="160" w:line="259" w:lineRule="auto"/>
        <w:ind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Cuando se trate de personas de derecho público que intervengan en el proceso, la prueba de su existencia y representación legal, salvo en relación con la Nación, los departamentos y los municipios y las demás entidades creadas por la Constitución y la ley.</w:t>
      </w:r>
    </w:p>
    <w:p w14:paraId="1C47298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jc w:val="both"/>
        <w:rPr>
          <w:rFonts w:ascii="Century Gothic" w:eastAsia="Garamond" w:hAnsi="Century Gothic" w:cs="Helvetica"/>
          <w:sz w:val="22"/>
          <w:szCs w:val="22"/>
        </w:rPr>
      </w:pPr>
    </w:p>
    <w:p w14:paraId="71115DD5" w14:textId="77777777" w:rsidR="00CB1679" w:rsidRPr="00CD7B09" w:rsidRDefault="00CB1679" w:rsidP="00CB1679">
      <w:pPr>
        <w:widowControl w:val="0"/>
        <w:numPr>
          <w:ilvl w:val="0"/>
          <w:numId w:val="80"/>
        </w:numPr>
        <w:pBdr>
          <w:top w:val="nil"/>
          <w:left w:val="nil"/>
          <w:bottom w:val="nil"/>
          <w:right w:val="nil"/>
          <w:between w:val="nil"/>
        </w:pBdr>
        <w:spacing w:after="160" w:line="259" w:lineRule="auto"/>
        <w:ind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Copias de la demanda para las partes.</w:t>
      </w:r>
    </w:p>
    <w:p w14:paraId="4249B84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212E637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 xml:space="preserve">Artículo 70. </w:t>
      </w:r>
      <w:r w:rsidRPr="00CD7B09">
        <w:rPr>
          <w:rFonts w:ascii="Century Gothic" w:eastAsia="Garamond" w:hAnsi="Century Gothic" w:cs="Helvetica"/>
          <w:sz w:val="22"/>
          <w:szCs w:val="22"/>
        </w:rPr>
        <w:t>Adiciónese el artículo 247F a la Ley 1437 de 2011, el cual quedará así:</w:t>
      </w:r>
    </w:p>
    <w:p w14:paraId="0BAA9B8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Helvetica"/>
          <w:sz w:val="22"/>
          <w:szCs w:val="22"/>
        </w:rPr>
      </w:pPr>
    </w:p>
    <w:p w14:paraId="2B1C847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Artículo 247F. Admisión, inadmisión y rechazo de la demanda. La inadmisión procederá en aquellos eventos en los cuales la demanda no sea subsanable por la actividad oficiosa del juez y se regirá por las reglas establecidas en el artículo 170 de este código, en concordancia con lo establecido en el artículo 90 de la Ley 1564 de 2012. En todo caso, el juez privilegiará la decisión de admitir la demanda si el sentido de esta permite comprender el objeto del litigio y garantizar el derecho de defensa de los interesados.</w:t>
      </w:r>
    </w:p>
    <w:p w14:paraId="0011E86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Helvetica"/>
          <w:sz w:val="22"/>
          <w:szCs w:val="22"/>
        </w:rPr>
      </w:pPr>
    </w:p>
    <w:p w14:paraId="4A0E5D5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El auto que admita la demanda deberá disponer el traslado a la parte demandada, conforme a las reglas establecidas al respecto en el artículo 91 de la Ley 1564 de 2012, al igual que a la Agencia Nacional de Defensa Jurídica del Estado, en los asuntos de su competencia.</w:t>
      </w:r>
    </w:p>
    <w:p w14:paraId="2420825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Helvetica"/>
          <w:sz w:val="22"/>
          <w:szCs w:val="22"/>
        </w:rPr>
      </w:pPr>
    </w:p>
    <w:p w14:paraId="0E361F8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Dentro del mes siguiente a la fecha de la presentación de la demanda deberá notificarse al demandante el auto que la admite o el auto que la inadmite o rechaza.</w:t>
      </w:r>
    </w:p>
    <w:p w14:paraId="4D6332B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Helvetica"/>
          <w:sz w:val="22"/>
          <w:szCs w:val="22"/>
        </w:rPr>
      </w:pPr>
    </w:p>
    <w:p w14:paraId="719C64D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El rechazo de la demanda procederá conforme a lo establecido en el artículo 169 de este código.</w:t>
      </w:r>
    </w:p>
    <w:p w14:paraId="17D4D92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p>
    <w:p w14:paraId="5B9B999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La inadmisión y rechazo de la demanda también procederá para aquellos procesos de restitución jurídica y material de las tierras despojadas o abandonadas forzadamente de que tratan los artículos 3 y 75 de la Ley 1448 de 2011.</w:t>
      </w:r>
    </w:p>
    <w:p w14:paraId="7B60095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p>
    <w:p w14:paraId="2E529C5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 xml:space="preserve">Artículo 71. </w:t>
      </w:r>
      <w:r w:rsidRPr="00CD7B09">
        <w:rPr>
          <w:rFonts w:ascii="Century Gothic" w:eastAsia="Garamond" w:hAnsi="Century Gothic" w:cs="Helvetica"/>
          <w:sz w:val="22"/>
          <w:szCs w:val="22"/>
        </w:rPr>
        <w:t>Adiciónese el artículo 247G a la Ley 1437 de 2011, el cual quedará así:</w:t>
      </w:r>
    </w:p>
    <w:p w14:paraId="32442100"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Helvetica"/>
          <w:sz w:val="22"/>
          <w:szCs w:val="22"/>
        </w:rPr>
      </w:pPr>
    </w:p>
    <w:p w14:paraId="7AB2D8B5"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r w:rsidRPr="00CD7B09">
        <w:rPr>
          <w:rFonts w:ascii="Century Gothic" w:eastAsia="Garamond" w:hAnsi="Century Gothic" w:cs="Garamond"/>
          <w:sz w:val="22"/>
          <w:szCs w:val="22"/>
        </w:rPr>
        <w:t>Artículo 247G. Auto admisorio. El auto que admita la demanda deberá disponer:</w:t>
      </w:r>
    </w:p>
    <w:p w14:paraId="3A30A48B"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77254E05" w14:textId="77777777" w:rsidR="00CB1679" w:rsidRPr="00CD7B09" w:rsidRDefault="00CB1679" w:rsidP="00CB1679">
      <w:pPr>
        <w:widowControl w:val="0"/>
        <w:numPr>
          <w:ilvl w:val="0"/>
          <w:numId w:val="2"/>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Cuando fuere el caso, la inscripción de la demanda en las respectivas oficinas de registro de instrumentos públicos, indicando los folios de matrícula inmobiliaria y la orden de remisión del oficio de inscripción por el registrador al juez. Si el predio no cuenta con folio de matrícula inmobiliaria, ordenar la apertura de este a nombre de la Nación, siempre y cuando la controversia verse sobre derechos reales.</w:t>
      </w:r>
    </w:p>
    <w:p w14:paraId="6D2F1ABD"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rPr>
          <w:rFonts w:ascii="Century Gothic" w:eastAsia="Garamond" w:hAnsi="Century Gothic" w:cs="Garamond"/>
          <w:sz w:val="22"/>
          <w:szCs w:val="22"/>
        </w:rPr>
      </w:pPr>
    </w:p>
    <w:p w14:paraId="4321A77E" w14:textId="77777777" w:rsidR="00CB1679" w:rsidRPr="00CD7B09" w:rsidRDefault="00CB1679" w:rsidP="00CB1679">
      <w:pPr>
        <w:widowControl w:val="0"/>
        <w:numPr>
          <w:ilvl w:val="0"/>
          <w:numId w:val="2"/>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Cuando fuere el caso, la suspensión y acumulación de los procesos y procedimientos que versen sobre el mismo inmueble o predio, de conformidad con lo dispuesto en el artículo 57 del Decreto Ley 902 de 2017 y en esta ley.</w:t>
      </w:r>
    </w:p>
    <w:p w14:paraId="7D2356B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rPr>
          <w:rFonts w:ascii="Century Gothic" w:eastAsia="Garamond" w:hAnsi="Century Gothic" w:cs="Garamond"/>
          <w:sz w:val="22"/>
          <w:szCs w:val="22"/>
        </w:rPr>
      </w:pPr>
    </w:p>
    <w:p w14:paraId="4FC30220" w14:textId="77777777" w:rsidR="00CB1679" w:rsidRPr="00CD7B09" w:rsidRDefault="00CB1679" w:rsidP="00CB1679">
      <w:pPr>
        <w:widowControl w:val="0"/>
        <w:numPr>
          <w:ilvl w:val="0"/>
          <w:numId w:val="2"/>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citación al proceso a quienes figuren como titulares inscritos de derechos en el folio de matrícula inmobiliaria del predio sobre el cual verse la acción y a las autoridades nacionales y regionales que hayan presentado oposiciones o se requiera de su actuación dentro del proceso.</w:t>
      </w:r>
    </w:p>
    <w:p w14:paraId="0735567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rPr>
          <w:rFonts w:ascii="Century Gothic" w:eastAsia="Garamond" w:hAnsi="Century Gothic" w:cs="Garamond"/>
          <w:sz w:val="22"/>
          <w:szCs w:val="22"/>
        </w:rPr>
      </w:pPr>
    </w:p>
    <w:p w14:paraId="2443396C" w14:textId="77777777" w:rsidR="00CB1679" w:rsidRPr="00CD7B09" w:rsidRDefault="00CB1679" w:rsidP="00CB1679">
      <w:pPr>
        <w:widowControl w:val="0"/>
        <w:numPr>
          <w:ilvl w:val="0"/>
          <w:numId w:val="2"/>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La publicación del auto admisorio, por el término de quince (15) días, con inclusión de la identificación del predio y el nombre e identificación de la persona a favor de quien se tramita la demanda, para que las personas que consideren tener derechos legítimos relacionados con el predio y/o se consideren afectadas por la suspensión de procesos judiciales y procedimientos administrativos, comparezcan al proceso y hagan valer sus derechos. </w:t>
      </w:r>
    </w:p>
    <w:p w14:paraId="41FEB96E" w14:textId="77777777" w:rsidR="00CB1679" w:rsidRPr="00CD7B09" w:rsidRDefault="00CB1679" w:rsidP="00CB1679">
      <w:pPr>
        <w:widowControl w:val="0"/>
        <w:pBdr>
          <w:top w:val="nil"/>
          <w:left w:val="nil"/>
          <w:bottom w:val="nil"/>
          <w:right w:val="nil"/>
          <w:between w:val="nil"/>
        </w:pBdr>
        <w:ind w:left="819" w:right="49"/>
        <w:jc w:val="both"/>
        <w:rPr>
          <w:rFonts w:ascii="Century Gothic" w:eastAsia="Garamond" w:hAnsi="Century Gothic" w:cs="Garamond"/>
          <w:sz w:val="22"/>
          <w:szCs w:val="22"/>
        </w:rPr>
      </w:pPr>
    </w:p>
    <w:p w14:paraId="641C7897" w14:textId="77777777" w:rsidR="00CB1679" w:rsidRPr="00CD7B09" w:rsidRDefault="00CB1679" w:rsidP="00CB1679">
      <w:pPr>
        <w:widowControl w:val="0"/>
        <w:numPr>
          <w:ilvl w:val="0"/>
          <w:numId w:val="2"/>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Cuando fuere el caso, la orden de oficiar a las entidades competentes para efectos de dilucidar si el predio sobre el cual versa el litigio se encuentra en alguna de las siguientes situaciones:</w:t>
      </w:r>
    </w:p>
    <w:p w14:paraId="334B2B9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65D35D66" w14:textId="77777777" w:rsidR="00CB1679" w:rsidRPr="00CD7B09" w:rsidRDefault="00CB1679" w:rsidP="00CB1679">
      <w:pPr>
        <w:widowControl w:val="0"/>
        <w:numPr>
          <w:ilvl w:val="1"/>
          <w:numId w:val="20"/>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Imprescriptibilidad o propiedad de entidades de derecho público, conforme a los artículos 63, 72, 102 y 332 de la Constitución Política y, en general, bienes cuya posesión, ocupación o transferencia, según el caso, estén prohibidas o restringidas por normas constitucionales o legales.</w:t>
      </w:r>
    </w:p>
    <w:p w14:paraId="78B2F854" w14:textId="77777777" w:rsidR="00CB1679" w:rsidRPr="00CD7B09" w:rsidRDefault="00CB1679" w:rsidP="00CB1679">
      <w:pPr>
        <w:widowControl w:val="0"/>
        <w:pBdr>
          <w:top w:val="nil"/>
          <w:left w:val="nil"/>
          <w:bottom w:val="nil"/>
          <w:right w:val="nil"/>
          <w:between w:val="nil"/>
        </w:pBdr>
        <w:ind w:left="851" w:right="49"/>
        <w:jc w:val="both"/>
        <w:rPr>
          <w:rFonts w:ascii="Century Gothic" w:eastAsia="Garamond" w:hAnsi="Century Gothic" w:cs="Garamond"/>
          <w:sz w:val="22"/>
          <w:szCs w:val="22"/>
        </w:rPr>
      </w:pPr>
    </w:p>
    <w:p w14:paraId="04EDAC66" w14:textId="77777777" w:rsidR="00CB1679" w:rsidRPr="00CD7B09" w:rsidRDefault="00CB1679" w:rsidP="00CB1679">
      <w:pPr>
        <w:widowControl w:val="0"/>
        <w:numPr>
          <w:ilvl w:val="1"/>
          <w:numId w:val="20"/>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Ubicación en zonas declaradas de alto riesgo no mitigable identificadas en el Plan de Ordenamiento Territorial y en los instrumentos que lo desarrollen y complementen, o aquellas que se definan por estudios geotécnicos que adopte oficialmente la administración Municipal, Distrital o el Departamento Archipiélago de San Andrés, Providencia y Santa Catalina, en cualquier momento.</w:t>
      </w:r>
    </w:p>
    <w:p w14:paraId="2CFB7E87" w14:textId="77777777" w:rsidR="00CB1679" w:rsidRPr="00CD7B09" w:rsidRDefault="00CB1679" w:rsidP="00CB1679">
      <w:pPr>
        <w:widowControl w:val="0"/>
        <w:pBdr>
          <w:top w:val="nil"/>
          <w:left w:val="nil"/>
          <w:bottom w:val="nil"/>
          <w:right w:val="nil"/>
          <w:between w:val="nil"/>
        </w:pBdr>
        <w:ind w:left="851" w:right="49"/>
        <w:jc w:val="both"/>
        <w:rPr>
          <w:rFonts w:ascii="Century Gothic" w:eastAsia="Garamond" w:hAnsi="Century Gothic" w:cs="Garamond"/>
          <w:sz w:val="22"/>
          <w:szCs w:val="22"/>
          <w:highlight w:val="yellow"/>
        </w:rPr>
      </w:pPr>
    </w:p>
    <w:p w14:paraId="4731C0BB" w14:textId="77777777" w:rsidR="00CB1679" w:rsidRPr="00CD7B09" w:rsidRDefault="00CB1679" w:rsidP="00CB1679">
      <w:pPr>
        <w:widowControl w:val="0"/>
        <w:numPr>
          <w:ilvl w:val="1"/>
          <w:numId w:val="20"/>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Ubicación en zonas o áreas protegidas, de conformidad con lo dispuesto en la Ley 2ª de 1959, el Decreto 1076 de 2015 y demás normas complementarias.</w:t>
      </w:r>
    </w:p>
    <w:p w14:paraId="5ABBAEE8" w14:textId="77777777" w:rsidR="00CB1679" w:rsidRPr="00CD7B09" w:rsidRDefault="00CB1679" w:rsidP="00CB1679">
      <w:pPr>
        <w:widowControl w:val="0"/>
        <w:pBdr>
          <w:top w:val="nil"/>
          <w:left w:val="nil"/>
          <w:bottom w:val="nil"/>
          <w:right w:val="nil"/>
          <w:between w:val="nil"/>
        </w:pBdr>
        <w:ind w:left="851" w:right="49"/>
        <w:jc w:val="both"/>
        <w:rPr>
          <w:rFonts w:ascii="Century Gothic" w:eastAsia="Garamond" w:hAnsi="Century Gothic" w:cs="Garamond"/>
          <w:sz w:val="22"/>
          <w:szCs w:val="22"/>
          <w:highlight w:val="yellow"/>
        </w:rPr>
      </w:pPr>
    </w:p>
    <w:p w14:paraId="6D31E67A" w14:textId="77777777" w:rsidR="00CB1679" w:rsidRPr="00CD7B09" w:rsidRDefault="00CB1679" w:rsidP="00CB1679">
      <w:pPr>
        <w:widowControl w:val="0"/>
        <w:numPr>
          <w:ilvl w:val="1"/>
          <w:numId w:val="20"/>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Ubicación en zonas de cantera que hayan sufrido grave deterioro físico, hasta tanto se adelante un manejo especial de recomposición geomorfológica de su suelo que las habilite para el desarrollo urbano.</w:t>
      </w:r>
    </w:p>
    <w:p w14:paraId="2E63BB40" w14:textId="77777777" w:rsidR="00CB1679" w:rsidRPr="00CD7B09" w:rsidRDefault="00CB1679" w:rsidP="00CB1679">
      <w:pPr>
        <w:widowControl w:val="0"/>
        <w:pBdr>
          <w:top w:val="nil"/>
          <w:left w:val="nil"/>
          <w:bottom w:val="nil"/>
          <w:right w:val="nil"/>
          <w:between w:val="nil"/>
        </w:pBdr>
        <w:ind w:left="851" w:right="49"/>
        <w:jc w:val="both"/>
        <w:rPr>
          <w:rFonts w:ascii="Century Gothic" w:eastAsia="Garamond" w:hAnsi="Century Gothic" w:cs="Garamond"/>
          <w:sz w:val="22"/>
          <w:szCs w:val="22"/>
          <w:highlight w:val="yellow"/>
        </w:rPr>
      </w:pPr>
    </w:p>
    <w:p w14:paraId="43135380" w14:textId="77777777" w:rsidR="00CB1679" w:rsidRPr="00CD7B09" w:rsidRDefault="00CB1679" w:rsidP="00CB1679">
      <w:pPr>
        <w:widowControl w:val="0"/>
        <w:numPr>
          <w:ilvl w:val="1"/>
          <w:numId w:val="20"/>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Ubicación total o parcial, en terrenos afectados por obra pública, de conformidad con lo establecido en el artículo 37 de la Ley 9ª de 1989.</w:t>
      </w:r>
    </w:p>
    <w:p w14:paraId="577739C1" w14:textId="77777777" w:rsidR="00CB1679" w:rsidRPr="00CD7B09" w:rsidRDefault="00CB1679" w:rsidP="00CB1679">
      <w:pPr>
        <w:widowControl w:val="0"/>
        <w:pBdr>
          <w:top w:val="nil"/>
          <w:left w:val="nil"/>
          <w:bottom w:val="nil"/>
          <w:right w:val="nil"/>
          <w:between w:val="nil"/>
        </w:pBdr>
        <w:ind w:left="851" w:right="49"/>
        <w:jc w:val="both"/>
        <w:rPr>
          <w:rFonts w:ascii="Century Gothic" w:eastAsia="Garamond" w:hAnsi="Century Gothic" w:cs="Garamond"/>
          <w:sz w:val="22"/>
          <w:szCs w:val="22"/>
          <w:highlight w:val="yellow"/>
        </w:rPr>
      </w:pPr>
    </w:p>
    <w:p w14:paraId="13EF7C4E" w14:textId="77777777" w:rsidR="00CB1679" w:rsidRPr="00CD7B09" w:rsidRDefault="00CB1679" w:rsidP="00CB1679">
      <w:pPr>
        <w:widowControl w:val="0"/>
        <w:numPr>
          <w:ilvl w:val="1"/>
          <w:numId w:val="20"/>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Ubicación en zonas declaradas de inminente riesgo de desplazamiento o de desplazamiento forzado, en los términos de la Ley 387 de 1997, sus reglamentos y demás normas que la adicionen o modifiquen, salvo que el poseedor que acuda a este proceso se encuentre identificado dentro del informe de derechos sobre inmuebles y territorios a los que se refiere el Decreto 1071 de 2015.</w:t>
      </w:r>
    </w:p>
    <w:p w14:paraId="658071FC" w14:textId="77777777" w:rsidR="00CB1679" w:rsidRPr="00CD7B09" w:rsidRDefault="00CB1679" w:rsidP="00CB1679">
      <w:pPr>
        <w:widowControl w:val="0"/>
        <w:pBdr>
          <w:top w:val="nil"/>
          <w:left w:val="nil"/>
          <w:bottom w:val="nil"/>
          <w:right w:val="nil"/>
          <w:between w:val="nil"/>
        </w:pBdr>
        <w:ind w:left="851" w:right="49"/>
        <w:jc w:val="both"/>
        <w:rPr>
          <w:rFonts w:ascii="Century Gothic" w:eastAsia="Garamond" w:hAnsi="Century Gothic" w:cs="Garamond"/>
          <w:sz w:val="22"/>
          <w:szCs w:val="22"/>
          <w:highlight w:val="yellow"/>
        </w:rPr>
      </w:pPr>
    </w:p>
    <w:p w14:paraId="0BA1AC7D" w14:textId="77777777" w:rsidR="00CB1679" w:rsidRPr="00CD7B09" w:rsidRDefault="00CB1679" w:rsidP="00CB1679">
      <w:pPr>
        <w:widowControl w:val="0"/>
        <w:numPr>
          <w:ilvl w:val="1"/>
          <w:numId w:val="20"/>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Destinación a actividades ilícitas.</w:t>
      </w:r>
    </w:p>
    <w:p w14:paraId="5462E60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711F008A" w14:textId="77777777" w:rsidR="00CB1679" w:rsidRPr="00CD7B09" w:rsidRDefault="00CB1679" w:rsidP="00CB1679">
      <w:pPr>
        <w:widowControl w:val="0"/>
        <w:pBdr>
          <w:top w:val="nil"/>
          <w:left w:val="nil"/>
          <w:bottom w:val="nil"/>
          <w:right w:val="nil"/>
          <w:between w:val="nil"/>
        </w:pBdr>
        <w:ind w:left="568" w:right="49"/>
        <w:jc w:val="both"/>
        <w:rPr>
          <w:rFonts w:ascii="Century Gothic" w:eastAsia="Garamond" w:hAnsi="Century Gothic" w:cs="Garamond"/>
          <w:sz w:val="22"/>
          <w:szCs w:val="22"/>
        </w:rPr>
      </w:pPr>
      <w:r w:rsidRPr="00CD7B09">
        <w:rPr>
          <w:rFonts w:ascii="Century Gothic" w:eastAsia="Garamond" w:hAnsi="Century Gothic" w:cs="Garamond"/>
          <w:sz w:val="22"/>
          <w:szCs w:val="22"/>
        </w:rPr>
        <w:t>6. La comunicación a la Agencia Nacional de Tierras, con el fin de actualizar la información en el Registro de Sujetos de Ordenamiento – RESO.</w:t>
      </w:r>
    </w:p>
    <w:p w14:paraId="4D64AD36" w14:textId="77777777" w:rsidR="00CB1679" w:rsidRPr="00CD7B09" w:rsidRDefault="00CB1679" w:rsidP="00CB1679">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2A55CCD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72. </w:t>
      </w:r>
      <w:r w:rsidRPr="00CD7B09">
        <w:rPr>
          <w:rFonts w:ascii="Century Gothic" w:eastAsia="Garamond" w:hAnsi="Century Gothic" w:cs="Garamond"/>
          <w:sz w:val="22"/>
          <w:szCs w:val="22"/>
        </w:rPr>
        <w:t>Adiciónese el artículo 247H a la Ley 1437 de 2011, el cual quedará así:</w:t>
      </w:r>
    </w:p>
    <w:p w14:paraId="38A0B80A"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08C1203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Artículo 247H. Notificación del auto admisorio de la demanda agraria.</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La notificación del auto admisorio de la demanda se hará en la forma señalada en los artículos 289 a 301 de la Ley 1564 de 2012 o en aquella que ordene el juez con la finalidad de otorgarle amplia publicidad y la oportunidad real y efectiva de comparecer al proceso a quienes consideren afectados sus derechos o estimen que el acto administrativo de la Agencia Nacional de Tierras, no cuenta con soporte material o jurídico.</w:t>
      </w:r>
    </w:p>
    <w:p w14:paraId="73FE9E5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0A0E970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Con la publicación de que trata este artículo se entenderá surtido el traslado de la demanda a las personas indeterminadas que consideren que deben comparecer al proceso para hacer valer sus derechos legítimos y a quienes se consideren afectados por el mismo.</w:t>
      </w:r>
    </w:p>
    <w:p w14:paraId="6CC4AC6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b/>
          <w:sz w:val="22"/>
          <w:szCs w:val="22"/>
        </w:rPr>
      </w:pPr>
    </w:p>
    <w:p w14:paraId="5016C27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Parágrafo. En los procesos en los cuales se discutan derechos sobre inmuebles ubicados en suelo rural, el juez deberá disponer la publicación del auto admisorio de la demanda en el Registro Nacional de Personas Emplazadas de que trata el artículo 108 de la Ley 1564 de 2012.</w:t>
      </w:r>
    </w:p>
    <w:p w14:paraId="142FEB9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0D6D997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Cuando se trate de procesos de pertenencia, adicionalmente se debe surtir la actuación respectiva en el Registro Nacional de Procesos de Pertenencia del que trata el parágrafo 2º del artículo 375 de la Ley 1564 de 2012.</w:t>
      </w:r>
    </w:p>
    <w:p w14:paraId="40A5E22B"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Helvetica"/>
          <w:sz w:val="22"/>
          <w:szCs w:val="22"/>
        </w:rPr>
      </w:pPr>
    </w:p>
    <w:p w14:paraId="36E2675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 xml:space="preserve">Artículo 73. </w:t>
      </w:r>
      <w:r w:rsidRPr="00CD7B09">
        <w:rPr>
          <w:rFonts w:ascii="Century Gothic" w:eastAsia="Garamond" w:hAnsi="Century Gothic" w:cs="Helvetica"/>
          <w:sz w:val="22"/>
          <w:szCs w:val="22"/>
        </w:rPr>
        <w:t>Adiciónese el artículo 247I a la Ley 1437 de 2011, el cual quedará así:</w:t>
      </w:r>
    </w:p>
    <w:p w14:paraId="26A30E4F"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5868ABC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 xml:space="preserve">Artículo 247I. Difusión. </w:t>
      </w:r>
      <w:r w:rsidRPr="00CD7B09">
        <w:rPr>
          <w:rFonts w:ascii="Century Gothic" w:eastAsia="Garamond" w:hAnsi="Century Gothic" w:cs="Helvetica"/>
          <w:bCs/>
          <w:sz w:val="22"/>
          <w:szCs w:val="22"/>
        </w:rPr>
        <w:t xml:space="preserve">Sin perjuicio de las reglas de notificación previstas en esta ley, en la ley 1564 de 2012 y en la ley 1437 de 2011, las alcaldías municipales dispondrán de espacios físicos, digitales </w:t>
      </w:r>
      <w:r w:rsidRPr="00CD7B09">
        <w:rPr>
          <w:rFonts w:ascii="Century Gothic" w:eastAsia="Garamond" w:hAnsi="Century Gothic" w:cs="Helvetica"/>
          <w:sz w:val="22"/>
          <w:szCs w:val="22"/>
        </w:rPr>
        <w:t>y a través de las emisoras comunitarias, conforme a la normatividad vigente, para la publicación de las citaciones derivadas de los autos admisorios de las demandas que se presenten en los respectivos entes territoriales, cuando se trate de personas que carezcan de medios para asumir los costos de la citación o gocen de amparo de pobreza o se requiera por solicitud de las asociaciones u organizaciones campesinas, sociales o de mujeres.</w:t>
      </w:r>
    </w:p>
    <w:p w14:paraId="42933BF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p>
    <w:p w14:paraId="2570A64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Cs/>
          <w:sz w:val="22"/>
          <w:szCs w:val="22"/>
        </w:rPr>
      </w:pPr>
      <w:r w:rsidRPr="00CD7B09">
        <w:rPr>
          <w:rFonts w:ascii="Century Gothic" w:eastAsia="Garamond" w:hAnsi="Century Gothic" w:cs="Garamond"/>
          <w:b/>
          <w:bCs/>
          <w:sz w:val="22"/>
          <w:szCs w:val="22"/>
        </w:rPr>
        <w:t>Artículo 74</w:t>
      </w:r>
      <w:r w:rsidRPr="00CD7B09">
        <w:rPr>
          <w:rFonts w:ascii="Century Gothic" w:eastAsia="Garamond" w:hAnsi="Century Gothic" w:cs="Garamond"/>
          <w:bCs/>
          <w:sz w:val="22"/>
          <w:szCs w:val="22"/>
        </w:rPr>
        <w:t>. Adiciónese el artículo 247J a la Ley 1437 de 2011, el cual quedará así:</w:t>
      </w:r>
    </w:p>
    <w:p w14:paraId="6DA713E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bCs/>
          <w:sz w:val="22"/>
          <w:szCs w:val="22"/>
        </w:rPr>
      </w:pPr>
    </w:p>
    <w:p w14:paraId="3DB394A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bCs/>
          <w:sz w:val="22"/>
          <w:szCs w:val="22"/>
        </w:rPr>
      </w:pPr>
      <w:r w:rsidRPr="00CD7B09">
        <w:rPr>
          <w:rFonts w:ascii="Century Gothic" w:eastAsia="Garamond" w:hAnsi="Century Gothic" w:cs="Garamond"/>
          <w:bCs/>
          <w:sz w:val="22"/>
          <w:szCs w:val="22"/>
        </w:rPr>
        <w:t>Artículo 247J. Contestación. La contestación de la demanda se deberá presentar ante el juez dentro de los quince (15) días siguientes a la notificación del auto admisorio, en la forma establecida en el artículo 96 de la Ley 1564 de 2012.</w:t>
      </w:r>
    </w:p>
    <w:p w14:paraId="2D59CD5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6926545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75. </w:t>
      </w:r>
      <w:r w:rsidRPr="00CD7B09">
        <w:rPr>
          <w:rFonts w:ascii="Century Gothic" w:eastAsia="Garamond" w:hAnsi="Century Gothic" w:cs="Garamond"/>
          <w:sz w:val="22"/>
          <w:szCs w:val="22"/>
        </w:rPr>
        <w:t>Adiciónese el artículo 247K a la Ley 1437 de 2011, el cual quedará así:</w:t>
      </w:r>
    </w:p>
    <w:p w14:paraId="7E7DBAF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387A3BC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Artículo 247K. Decreto de pruebas. El juez proferirá auto de decreto de pruebas en el que señalará el término de treinta (30) días para que se practiquen, la fecha de la audiencia pública de pruebas y alegatos, y las diligencias que considere necesarias.</w:t>
      </w:r>
    </w:p>
    <w:p w14:paraId="4454BF1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02331E1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Parágrafo. Cuando el juez lo estime necesario, el término probatorio se podrá prorrogar por treinta (30) días adicionales.</w:t>
      </w:r>
    </w:p>
    <w:p w14:paraId="7E14FD5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0647CEE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76. </w:t>
      </w:r>
      <w:r w:rsidRPr="00CD7B09">
        <w:rPr>
          <w:rFonts w:ascii="Century Gothic" w:eastAsia="Garamond" w:hAnsi="Century Gothic" w:cs="Garamond"/>
          <w:sz w:val="22"/>
          <w:szCs w:val="22"/>
        </w:rPr>
        <w:t>Adiciónese el artículo 247L a la Ley 1437 de 2011, el cual quedará así:</w:t>
      </w:r>
    </w:p>
    <w:p w14:paraId="0BD9F5E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43BB3AF1"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Artículo 247L. Carga de la prueba. Incumbe a las partes probar el supuesto de hecho de las normas que consagran el efecto jurídico que ellas persiguen. Lo anterior, sin perjuicio de la facultad para decretar pruebas de oficio, prevista en la Ley 1564 de 2012.</w:t>
      </w:r>
    </w:p>
    <w:p w14:paraId="00D106D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6E00576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No obstante, según las particularidades del caso, el juez podrá, mediante providencia motivada expedida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w:t>
      </w:r>
    </w:p>
    <w:p w14:paraId="1E25B01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26E1EF4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Se considerará que una parte está en mejor posición para probar un asunto relevante al proceso en virtud de su cercanía con el material probatorio, por tener en su poder el objeto de prueba, por circunstancias técnicas especiales, por haber intervenido directamente en los hechos que dieron lugar al litigio, o por estado de indefensión o de incapacidad en el cual se encuentre la contraparte, entre otras circunstancias similares.</w:t>
      </w:r>
    </w:p>
    <w:p w14:paraId="44A526B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0ECC50D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Cuando el juez adopte esta decisión, que será susceptible de recurso de apelación, otorgará a la parte correspondiente el término necesario para aportar o solicitar la respectiva prueba, la cual se someterá a las reglas de contradicción previstas en la Ley 1564 de 2012.</w:t>
      </w:r>
    </w:p>
    <w:p w14:paraId="4F453D3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2E493D6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77. </w:t>
      </w:r>
      <w:r w:rsidRPr="00CD7B09">
        <w:rPr>
          <w:rFonts w:ascii="Century Gothic" w:eastAsia="Garamond" w:hAnsi="Century Gothic" w:cs="Garamond"/>
          <w:sz w:val="22"/>
          <w:szCs w:val="22"/>
        </w:rPr>
        <w:t>Adiciónese el artículo 247M a la Ley 1437 de 2011, el cual quedará así:</w:t>
      </w:r>
    </w:p>
    <w:p w14:paraId="4AC609B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2A6E7A4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Artículo 247M. Inspección judicial.</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Para la verificación de la identificación del bien inmueble objeto del proceso, los hechos y derechos relacionados, la explotación económica, el cumplimiento de las normas de Ordenamiento Social de la Propiedad Rural y el esclarecimiento de los hechos materia del proceso, será procedente la inspección judicial, siempre que el informe técnico-jurídico y demás anexos no ofrezcan certeza acerca de las condiciones materiales del predio, sus circunstancias de ocupación, posesión, explotación e identificación predial y demás que fueren objeto de la pretensión y conocimiento del juez competente, siempre y cuando se trate de conflictos que versen sobre bienes inmuebles ubicados en zonas en las cuales se esté implementando o haya implementado las normas de  ordenamiento social de la propiedad rural por parte de la Agencia Nacional de Tierras.</w:t>
      </w:r>
    </w:p>
    <w:p w14:paraId="6B55F1B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5B2730A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El decreto y práctica de la inspección judicial se acogerá a lo dispuesto en el artículo 236 de la Ley 1564 de 2012.</w:t>
      </w:r>
    </w:p>
    <w:p w14:paraId="0983616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103C45E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práctica de la prueba deberá correr a cargo de quien la solicita, para lo cual dentro de los diez (10) días siguientes a la notificación del auto que la decreta, deberá sufragar los gastos que conlleva la práctica de esta. De no cancelar el valor correspondiente dentro del término establecido se entenderá que se desiste de la prueba. Lo dispuesto en el presente inciso respecto del cobro de la prueba, no aplicará a las personas que hayan sido categorizadas como beneficiarios a título gratuito o tengan amparo de pobreza, y de manera proporcional respecto de aquellas que hayan sido categorizadas como beneficiarias a título parcialmente gratuito.</w:t>
      </w:r>
    </w:p>
    <w:p w14:paraId="735232B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u w:val="single"/>
        </w:rPr>
      </w:pPr>
    </w:p>
    <w:p w14:paraId="3371609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78. </w:t>
      </w:r>
      <w:r w:rsidRPr="00CD7B09">
        <w:rPr>
          <w:rFonts w:ascii="Century Gothic" w:eastAsia="Garamond" w:hAnsi="Century Gothic" w:cs="Garamond"/>
          <w:sz w:val="22"/>
          <w:szCs w:val="22"/>
        </w:rPr>
        <w:t>Adiciónese el artículo 247N a la Ley 1437 de 2011, el cual quedará así:</w:t>
      </w:r>
    </w:p>
    <w:p w14:paraId="1F944CD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p>
    <w:p w14:paraId="17558E5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Artículo 247N. Prueba pericial. La prueba pericial en el proceso agrario y rural se regirá por las normas establecidas en este capítulo, y en lo no previsto por las demás normas del Código General del Proceso. </w:t>
      </w:r>
    </w:p>
    <w:p w14:paraId="48430B4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4F13A06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partes podrán aportar el dictamen pericial o solicitar al juez que lo decrete. El dictamen pericial también podrá ser decretado de oficio por el juez.</w:t>
      </w:r>
    </w:p>
    <w:p w14:paraId="3EFE009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316A556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Cuando el dictamen sea aportado por las partes, la oportunidad y contradicción se regirá por lo dispuesto en los artículos 226 y siguientes del Código General del Proceso.</w:t>
      </w:r>
    </w:p>
    <w:p w14:paraId="575B76D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u w:val="single"/>
        </w:rPr>
      </w:pPr>
    </w:p>
    <w:p w14:paraId="6AEAB37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79. </w:t>
      </w:r>
      <w:r w:rsidRPr="00CD7B09">
        <w:rPr>
          <w:rFonts w:ascii="Century Gothic" w:eastAsia="Garamond" w:hAnsi="Century Gothic" w:cs="Garamond"/>
          <w:sz w:val="22"/>
          <w:szCs w:val="22"/>
        </w:rPr>
        <w:t>Adiciónese el artículo 247O a la Ley 1437 de 2011, el cual quedará así:</w:t>
      </w:r>
    </w:p>
    <w:p w14:paraId="48F430F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u w:val="single"/>
        </w:rPr>
      </w:pPr>
    </w:p>
    <w:p w14:paraId="5B06CE3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Artículo 247O. Trámite del dictamen pericial solicitado o decretado de oficio. Cuando en la oportunidad para pedir pruebas se solicite el decreto de un dictamen pericial, o cuando el mismo se decrete de oficio, se aplicarán las siguientes reglas:</w:t>
      </w:r>
    </w:p>
    <w:p w14:paraId="2F21079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212C106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El juez o magistrado ponente resolverá de plano la recusación o manifestación de impedimento del perito mediante auto que no tendrá recurso alguno, lo cual se podrá realizar antes de la posesión del perito.   </w:t>
      </w:r>
    </w:p>
    <w:p w14:paraId="327D36C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08AA319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El perito designado será posesionado con las advertencias de ley y previo juramento.</w:t>
      </w:r>
    </w:p>
    <w:p w14:paraId="043DB03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4D9E34E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Si es del caso, el juez o magistrado ponente ordenará a la parte que solicitó el dictamen que le suministre al perito lo necesario para viáticos y gastos de la pericia, dentro del término que al efecto señale. Este término podrá ser prorrogado por una sola vez. </w:t>
      </w:r>
    </w:p>
    <w:p w14:paraId="4961471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33F1BCF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Si quien pidió el dictamen no consigna las sumas ordenadas dentro del término otorgado, se entenderá que desiste de la prueba. </w:t>
      </w:r>
    </w:p>
    <w:p w14:paraId="5BEA0CC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u w:val="single"/>
        </w:rPr>
      </w:pPr>
    </w:p>
    <w:p w14:paraId="3CF8A34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80. </w:t>
      </w:r>
      <w:r w:rsidRPr="00CD7B09">
        <w:rPr>
          <w:rFonts w:ascii="Century Gothic" w:eastAsia="Garamond" w:hAnsi="Century Gothic" w:cs="Garamond"/>
          <w:sz w:val="22"/>
          <w:szCs w:val="22"/>
        </w:rPr>
        <w:t>Adiciónese el artículo 247P a la Ley 1437 de 2011, el cual quedará así:</w:t>
      </w:r>
    </w:p>
    <w:p w14:paraId="299CC01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u w:val="single"/>
        </w:rPr>
      </w:pPr>
    </w:p>
    <w:p w14:paraId="7D8248B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Artículo 247P. Contradicción del dictamen pericial a solicitud de parte o decretado de oficio. En estos casos, se seguirán las siguientes reglas: </w:t>
      </w:r>
    </w:p>
    <w:p w14:paraId="0A2D435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057D41F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1. Rendido el dictamen, se correrá traslado a las partes por un término de cinco (5) días hábiles, dentro del cual aquellas podrán solicitar aclaraciones o complementaciones. Si se solicitan aclaraciones o complementaciones al dictamen se dispondrá que el perito las realice en el término que se fije y una vez presentadas se correrá traslado de estas a las partes, por un término de tres (3) días.</w:t>
      </w:r>
    </w:p>
    <w:p w14:paraId="31576C2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u w:val="single"/>
        </w:rPr>
      </w:pPr>
    </w:p>
    <w:p w14:paraId="01DCF77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u w:val="single"/>
        </w:rPr>
      </w:pPr>
      <w:r w:rsidRPr="00CD7B09">
        <w:rPr>
          <w:rFonts w:ascii="Century Gothic" w:eastAsia="Garamond" w:hAnsi="Century Gothic" w:cs="Garamond"/>
          <w:sz w:val="22"/>
          <w:szCs w:val="22"/>
        </w:rPr>
        <w:t xml:space="preserve">2. En ningún caso habrá lugar a trámite especial de objeción del dictamen por error grave. Con el fin de controvertirlo, dentro del término de su traslado, o del de sus aclaraciones o complementaciones, las partes podrán presentar dictamen pericial o testigos técnicos que, habiendo tenido participación en los hechos materia del proceso, tengan conocimientos profesionales o especializados en la materia. Excepcionalmente, el juez, de oficio o a petición de parte, podrá convocar a los peritos a la audiencia pública de pruebas y alegatos, quienes deberán concurrir obligatoriamente y podrán ser interrogados por el juez y por las partes con fines de contradicción. </w:t>
      </w:r>
    </w:p>
    <w:p w14:paraId="150DC41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u w:val="single"/>
        </w:rPr>
      </w:pPr>
    </w:p>
    <w:p w14:paraId="4C2904A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Parágrafo.</w:t>
      </w:r>
      <w:r w:rsidRPr="00CD7B09">
        <w:rPr>
          <w:rFonts w:ascii="Century Gothic" w:eastAsia="Garamond" w:hAnsi="Century Gothic" w:cs="Garamond"/>
          <w:sz w:val="22"/>
          <w:szCs w:val="22"/>
        </w:rPr>
        <w:t xml:space="preserve"> En los casos en que el dictamen pericial fuere rendido por una autoridad pública, sea aportado o solicitado por las partes o decretado de oficio, se prescindirá de la audiencia, salvo que el juez la estime indispensable.  </w:t>
      </w:r>
    </w:p>
    <w:p w14:paraId="5CA5023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4151E51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81. </w:t>
      </w:r>
      <w:r w:rsidRPr="00CD7B09">
        <w:rPr>
          <w:rFonts w:ascii="Century Gothic" w:eastAsia="Garamond" w:hAnsi="Century Gothic" w:cs="Garamond"/>
          <w:sz w:val="22"/>
          <w:szCs w:val="22"/>
        </w:rPr>
        <w:t>Adiciónese el artículo 247Q a la Ley 1437 de 2011, el cual quedará así:</w:t>
      </w:r>
    </w:p>
    <w:p w14:paraId="7DCFAF7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u w:val="single"/>
        </w:rPr>
      </w:pPr>
    </w:p>
    <w:p w14:paraId="238CA82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Artículo 247Q. Honorarios del perito. Practicado el dictamen pericial y surtida la contradicción de este, el juez fijará los honorarios del perito mediante auto. </w:t>
      </w:r>
      <w:r w:rsidRPr="00CD7B09">
        <w:rPr>
          <w:rFonts w:ascii="Century Gothic" w:eastAsia="Garamond" w:hAnsi="Century Gothic" w:cs="Garamond"/>
          <w:sz w:val="22"/>
          <w:szCs w:val="22"/>
          <w:u w:val="single"/>
        </w:rPr>
        <w:t xml:space="preserve"> </w:t>
      </w:r>
    </w:p>
    <w:p w14:paraId="661BB44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u w:val="single"/>
        </w:rPr>
      </w:pPr>
    </w:p>
    <w:p w14:paraId="4FE13A3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La parte que haya solicitado el dictamen pericial asumirá el pago de los honorarios del perito. Cuando el dictamen sea decretado de oficio corresponderá su pago a las partes en igual proporción. En el evento en que una de las partes no pague lo que le corresponde, la otra parte podrá asumir dicho pago. </w:t>
      </w:r>
    </w:p>
    <w:p w14:paraId="0E83A2C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u w:val="single"/>
        </w:rPr>
      </w:pPr>
      <w:r w:rsidRPr="00CD7B09">
        <w:rPr>
          <w:rFonts w:ascii="Century Gothic" w:eastAsia="Garamond" w:hAnsi="Century Gothic" w:cs="Garamond"/>
          <w:sz w:val="22"/>
          <w:szCs w:val="22"/>
          <w:u w:val="single"/>
        </w:rPr>
        <w:t xml:space="preserve">  </w:t>
      </w:r>
    </w:p>
    <w:p w14:paraId="6B079E3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Parágrafo 1º. De conformidad con lo indicado en el numeral 21 del artículo 85 de la Ley 270 de 1996, el Consejo Superior de la Judicatura mantendrá un listado debidamente actualizado de peritos en todas las áreas del conocimiento que se requieran. Se garantizará que quien integre la lista tenga los conocimientos, la idoneidad, la experiencia y la disponibilidad para rendir el dictamen. Igualmente, establecerá los parámetros y tarifas para la remuneración de los servicios prestados por los peritos de acuerdo con los precios del mercado para los servicios de cada profesión. En el caso de que se trate de un asunto de especial complejidad, la autoridad judicial podrá fijar los honorarios al perito sin sujeción a la tarifa oficial.     </w:t>
      </w:r>
    </w:p>
    <w:p w14:paraId="1E4E084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u w:val="single"/>
        </w:rPr>
      </w:pPr>
    </w:p>
    <w:p w14:paraId="32A0C40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Parágrafo 2º. El pago de honorarios, gastos y viáticos no aplicará a las personas que hayan sido categorizadas como beneficiarias a título gratuito o tengan amparo de pobreza, y de manera proporcional respecto de aquellas que hayan sido categorizadas como beneficiarias a título parcialmente gratuito.</w:t>
      </w:r>
    </w:p>
    <w:p w14:paraId="5C8DA69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413C214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82. </w:t>
      </w:r>
      <w:r w:rsidRPr="00CD7B09">
        <w:rPr>
          <w:rFonts w:ascii="Century Gothic" w:eastAsia="Garamond" w:hAnsi="Century Gothic" w:cs="Garamond"/>
          <w:sz w:val="22"/>
          <w:szCs w:val="22"/>
        </w:rPr>
        <w:t>Adiciónese el artículo 247R a la Ley 1437 de 2011, el cual quedará así:</w:t>
      </w:r>
    </w:p>
    <w:p w14:paraId="3AD6874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u w:val="single"/>
        </w:rPr>
      </w:pPr>
    </w:p>
    <w:p w14:paraId="530F7AE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Artículo 247R. Reglas especiales para las entidades públicas.</w:t>
      </w:r>
    </w:p>
    <w:p w14:paraId="13EA521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1F5C57A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Para aportar el dictamen pericial o contradecirlo, se faculta a las entidades públicas para que mediante contratación directa seleccionen los expertos que atenderán la prueba pericial requerida en un proceso judicial. Esta pericia también podrá ser contratada durante las restricciones establecidas en la Ley 996 de 2005.</w:t>
      </w:r>
    </w:p>
    <w:p w14:paraId="349C9CC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7738689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En los anteriores términos se modifica la Ley 80 de 1993, en lo relativo a la contratación directa para la pericia judicial.  </w:t>
      </w:r>
    </w:p>
    <w:p w14:paraId="4A108BC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77CFD42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Cuando la experticia sea rendida por una entidad pública el juez deberá ordenar honorarios a favor de esta.</w:t>
      </w:r>
    </w:p>
    <w:p w14:paraId="7B0B654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7F38AE0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83. </w:t>
      </w:r>
      <w:r w:rsidRPr="00CD7B09">
        <w:rPr>
          <w:rFonts w:ascii="Century Gothic" w:eastAsia="Garamond" w:hAnsi="Century Gothic" w:cs="Garamond"/>
          <w:sz w:val="22"/>
          <w:szCs w:val="22"/>
        </w:rPr>
        <w:t>Adiciónese el artículo 247S a la Ley 1437 de 2011, el cual quedará así:</w:t>
      </w:r>
    </w:p>
    <w:p w14:paraId="3C7A2C8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360AD7A3"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Artículo 247S. Audiencia pública de pruebas y alegatos.</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El juez instalará la audiencia pública de pruebas y alegatos con la presencia de los apoderados de las partes, quienes deberán acudir obligatoriamente. También podrán asistir las partes, terceros y demás intervinientes.</w:t>
      </w:r>
    </w:p>
    <w:p w14:paraId="58FF629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Previo a la práctica de pruebas, el juez decidirá de oficio o a petición de parte sobre los vicios que se hayan presentado y adoptará las medidas de saneamiento necesarias para evitar sentencias inhibitorias.</w:t>
      </w:r>
    </w:p>
    <w:p w14:paraId="5875A3D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341BC51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 continuación, el juez requerirá a las partes y a sus apoderados para que determinen los hechos en los que están de acuerdo y que fueren susceptibles de prueba de confesión. Cuando sea procedente, fijará el objeto del litigio, precisará los hechos que considera demostrados y rechazará las pruebas decretadas que estime innecesarias.</w:t>
      </w:r>
    </w:p>
    <w:p w14:paraId="2865474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506CE1B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Luego, practicará las demás pruebas de la siguiente manera:</w:t>
      </w:r>
    </w:p>
    <w:p w14:paraId="7C1BD84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53463CB1" w14:textId="77777777" w:rsidR="00CB1679" w:rsidRPr="00CD7B09" w:rsidRDefault="00CB1679" w:rsidP="00CB1679">
      <w:pPr>
        <w:widowControl w:val="0"/>
        <w:numPr>
          <w:ilvl w:val="0"/>
          <w:numId w:val="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 El interrogatorio a los peritos que hayan sido citados a la audiencia, de oficio o a solicitud de parte.</w:t>
      </w:r>
    </w:p>
    <w:p w14:paraId="4893450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54CB87D0" w14:textId="77777777" w:rsidR="00CB1679" w:rsidRPr="00CD7B09" w:rsidRDefault="00CB1679" w:rsidP="00CB1679">
      <w:pPr>
        <w:widowControl w:val="0"/>
        <w:numPr>
          <w:ilvl w:val="0"/>
          <w:numId w:val="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 Las declaraciones de los testigos que se encuentren presentes.</w:t>
      </w:r>
    </w:p>
    <w:p w14:paraId="1F261CD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142D3BA0" w14:textId="77777777" w:rsidR="00CB1679" w:rsidRPr="00CD7B09" w:rsidRDefault="00CB1679" w:rsidP="00CB1679">
      <w:pPr>
        <w:widowControl w:val="0"/>
        <w:numPr>
          <w:ilvl w:val="0"/>
          <w:numId w:val="3"/>
        </w:numPr>
        <w:pBdr>
          <w:top w:val="nil"/>
          <w:left w:val="nil"/>
          <w:bottom w:val="nil"/>
          <w:right w:val="nil"/>
          <w:between w:val="nil"/>
        </w:pBd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 La exhibición de los documentos y las demás pruebas que hubieren sido decretadas y practicadas.</w:t>
      </w:r>
    </w:p>
    <w:p w14:paraId="2655229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2B1D074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Practicadas las pruebas se oirán los alegatos de las partes, primero al demandante y luego al demandado, y posteriormente a los demás intervinientes, por el tiempo que el juez estime necesario. Una vez escuchados los alegatos el juez finalizará la audiencia.</w:t>
      </w:r>
    </w:p>
    <w:p w14:paraId="13ACCB0B"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66F62AD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Parágrafo 1º. La inasistencia de los apoderados a esta audiencia sólo podrá excusarse mediante prueba sumaria de una justa causa.</w:t>
      </w:r>
    </w:p>
    <w:p w14:paraId="0CD5EBF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05C9701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Parágrafo 2º.</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En cualquier etapa de la audiencia el juez podrá invitar a las partes a conciliar sus diferencias.</w:t>
      </w:r>
    </w:p>
    <w:p w14:paraId="1BDDFFA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2EA515E3" w14:textId="7F642E8A"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84. </w:t>
      </w:r>
      <w:r w:rsidRPr="00CD7B09">
        <w:rPr>
          <w:rFonts w:ascii="Century Gothic" w:eastAsia="Garamond" w:hAnsi="Century Gothic" w:cs="Garamond"/>
          <w:sz w:val="22"/>
          <w:szCs w:val="22"/>
        </w:rPr>
        <w:t>Adiciónese el artículo 247T a la Ley 1437 de 2011, el cual quedará así:</w:t>
      </w:r>
    </w:p>
    <w:p w14:paraId="0E45811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1B76A1E8" w14:textId="7D22F144"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Artículo 247T. Sentencia. El juez proferirá sentencia dentro de los treinta (30) días siguientes a la audiencia pública, conforme al artículo 187 de este código y al parágrafo segundo del artículo 281 de la Ley 1564 de 2012. Igualmente, atenderá lo dispuesto en el parágrafo 2 del artículo 281 de la Ley 1564 de 2012, respecto a la posibilidad de fallar “ultra o extra petita”.</w:t>
      </w:r>
    </w:p>
    <w:p w14:paraId="312E047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4D6F2CF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Ejecutoriada la sentencia su cumplimiento será inmediato. En todo caso, el juez mantendrá la competencia para garantizar el goce efectivo de los derechos reconocidos en la sentencia, prosiguiéndose dentro del mismo expediente las medidas de ejecución que sean necesarias, en procura de cuya eficacia las autoridades administrativas tendrán el deber de prestar el apoyo que solicite el juez, conforme a esta Ley, así como de acuerdo con las disposiciones establecidas para el efecto en la Ley 1564 de 2012.</w:t>
      </w:r>
    </w:p>
    <w:p w14:paraId="3D1DD03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3BCA5DF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Parágrafo 1º.</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Incurrirá en falta gravísima el funcionario que omita o retarde injustificadamente el cumplimiento de las órdenes contenidas en el fallo o no brinde al Juez el apoyo requerido por éste para la ejecución de la sentencia.</w:t>
      </w:r>
    </w:p>
    <w:p w14:paraId="5D83DA9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2664E6F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Parágrafo 2º.</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En la sentencia, el juez o magistrado deberá ordenar la declaración de derechos de propiedad, uso y tenencia de la tierra en favor del beneficiario y de su cónyuge, compañero o compañera permanente, cuando se verifique que este último tiene una relación directa con el predio o como resultado del reconocimiento de su aporte al trabajo agrario y a la economía del cuidado de acuerdo con lo dispuesto en la Ley 1413 de 2010. El juez podrá impartir órdenes catastrales y registrales. </w:t>
      </w:r>
    </w:p>
    <w:p w14:paraId="07FD2FA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1718F92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Parágrafo 3º.</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Además de lo dispuesto en los artículos 280 del Código General del Proceso y 187 del Código de Procedimiento Administrativo y de lo Contencioso Administrativo, la sentencia deberá contener una valoración del informe técnico jurídico practicado en el procedimiento administrativo adelantado por la Agencia Nacional de Tierras.</w:t>
      </w:r>
    </w:p>
    <w:p w14:paraId="341BE3F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p>
    <w:p w14:paraId="2D05C33D" w14:textId="77777777" w:rsidR="00CB1679" w:rsidRPr="00CD7B09" w:rsidRDefault="00CB1679" w:rsidP="00CB1679">
      <w:pPr>
        <w:ind w:right="49"/>
        <w:jc w:val="both"/>
        <w:rPr>
          <w:rFonts w:ascii="Century Gothic" w:eastAsia="Garamond" w:hAnsi="Century Gothic" w:cs="Garamond"/>
          <w:b/>
          <w:sz w:val="22"/>
          <w:szCs w:val="22"/>
        </w:rPr>
      </w:pPr>
      <w:r w:rsidRPr="00CD7B09">
        <w:rPr>
          <w:rFonts w:ascii="Century Gothic" w:eastAsia="Garamond" w:hAnsi="Century Gothic" w:cs="Garamond"/>
          <w:b/>
          <w:sz w:val="22"/>
          <w:szCs w:val="22"/>
        </w:rPr>
        <w:t>Artículo 85. Adiciónese un parágrafo al artículo 248 de la Ley 1437 de 2011, así</w:t>
      </w:r>
    </w:p>
    <w:p w14:paraId="511FD7B2" w14:textId="77777777" w:rsidR="00CB1679" w:rsidRPr="00CD7B09" w:rsidRDefault="00CB1679" w:rsidP="00CB1679">
      <w:pPr>
        <w:ind w:right="49"/>
        <w:jc w:val="both"/>
        <w:rPr>
          <w:rFonts w:ascii="Century Gothic" w:eastAsia="Garamond" w:hAnsi="Century Gothic" w:cs="Garamond"/>
          <w:b/>
          <w:sz w:val="22"/>
          <w:szCs w:val="22"/>
        </w:rPr>
      </w:pPr>
    </w:p>
    <w:p w14:paraId="4DA2AE04" w14:textId="77777777" w:rsidR="00CB1679" w:rsidRPr="00CD7B09" w:rsidRDefault="00CB1679" w:rsidP="00CB1679">
      <w:pPr>
        <w:ind w:left="567" w:right="49"/>
        <w:jc w:val="both"/>
        <w:rPr>
          <w:rFonts w:ascii="Century Gothic" w:eastAsia="Garamond" w:hAnsi="Century Gothic" w:cs="Garamond"/>
          <w:sz w:val="22"/>
          <w:szCs w:val="22"/>
        </w:rPr>
      </w:pPr>
      <w:proofErr w:type="gramStart"/>
      <w:r w:rsidRPr="00CD7B09">
        <w:rPr>
          <w:rFonts w:ascii="Century Gothic" w:eastAsia="Garamond" w:hAnsi="Century Gothic" w:cs="Garamond"/>
          <w:sz w:val="22"/>
          <w:szCs w:val="22"/>
        </w:rPr>
        <w:t>Artículo  248</w:t>
      </w:r>
      <w:proofErr w:type="gramEnd"/>
      <w:r w:rsidRPr="00CD7B09">
        <w:rPr>
          <w:rFonts w:ascii="Century Gothic" w:eastAsia="Garamond" w:hAnsi="Century Gothic" w:cs="Garamond"/>
          <w:sz w:val="22"/>
          <w:szCs w:val="22"/>
        </w:rPr>
        <w:t>. Procedencia. El recurso extraordinario de revisión procede contra las sentencias ejecutoriadas dictadas por las secciones y subsecciones de la Sala de lo Contencioso Administrativo del Consejo de Estado, por los Tribunales Administrativos y por los jueces administrativos.</w:t>
      </w:r>
    </w:p>
    <w:p w14:paraId="74FAADEF" w14:textId="77777777" w:rsidR="00CB1679" w:rsidRPr="00CD7B09" w:rsidRDefault="00CB1679" w:rsidP="00CB1679">
      <w:pPr>
        <w:ind w:left="567" w:right="49"/>
        <w:jc w:val="both"/>
        <w:rPr>
          <w:rFonts w:ascii="Century Gothic" w:eastAsia="Garamond" w:hAnsi="Century Gothic" w:cs="Garamond"/>
          <w:sz w:val="22"/>
          <w:szCs w:val="22"/>
        </w:rPr>
      </w:pPr>
    </w:p>
    <w:p w14:paraId="4FEFABE6" w14:textId="77777777" w:rsidR="00CB1679" w:rsidRPr="00CD7B09" w:rsidRDefault="00CB1679" w:rsidP="00CB1679">
      <w:pPr>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Parágrafo. El recurso extraordinario de revisión procederá en la Especialidad Agraria y Rural en los mismos términos previstos en esta Ley.</w:t>
      </w:r>
    </w:p>
    <w:p w14:paraId="38A27CF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4CA18EA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 xml:space="preserve">Artículo 86. </w:t>
      </w:r>
      <w:r w:rsidRPr="00CD7B09">
        <w:rPr>
          <w:rFonts w:ascii="Century Gothic" w:eastAsia="Garamond" w:hAnsi="Century Gothic" w:cs="Helvetica"/>
          <w:sz w:val="22"/>
          <w:szCs w:val="22"/>
        </w:rPr>
        <w:t>Adiciónese un parágrafo 2 al artículo 257 de la Ley 1437 de 2011, así:</w:t>
      </w:r>
    </w:p>
    <w:p w14:paraId="6CE9DAC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627BF7A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Artículo 257. Procedencia. El recurso extraordinario de unificación de jurisprudencia procede contra las sentencias dictadas en única y en segunda instancia por los tribunales administrativos, tanto para los procesos que se rigen por el Decreto </w:t>
      </w:r>
      <w:hyperlink r:id="rId8" w:anchor="INICIO">
        <w:r w:rsidRPr="00CD7B09">
          <w:rPr>
            <w:rFonts w:ascii="Century Gothic" w:eastAsia="Garamond" w:hAnsi="Century Gothic" w:cs="Helvetica"/>
            <w:sz w:val="22"/>
            <w:szCs w:val="22"/>
          </w:rPr>
          <w:t>01</w:t>
        </w:r>
      </w:hyperlink>
      <w:r w:rsidRPr="00CD7B09">
        <w:rPr>
          <w:rFonts w:ascii="Century Gothic" w:eastAsia="Garamond" w:hAnsi="Century Gothic" w:cs="Helvetica"/>
          <w:sz w:val="22"/>
          <w:szCs w:val="22"/>
        </w:rPr>
        <w:t> de 1984 como para aquellos que se tramitan por la Ley </w:t>
      </w:r>
      <w:hyperlink r:id="rId9" w:anchor="INICIO">
        <w:r w:rsidRPr="00CD7B09">
          <w:rPr>
            <w:rFonts w:ascii="Century Gothic" w:eastAsia="Garamond" w:hAnsi="Century Gothic" w:cs="Helvetica"/>
            <w:sz w:val="22"/>
            <w:szCs w:val="22"/>
          </w:rPr>
          <w:t>1437</w:t>
        </w:r>
      </w:hyperlink>
      <w:r w:rsidRPr="00CD7B09">
        <w:rPr>
          <w:rFonts w:ascii="Century Gothic" w:eastAsia="Garamond" w:hAnsi="Century Gothic" w:cs="Helvetica"/>
          <w:sz w:val="22"/>
          <w:szCs w:val="22"/>
        </w:rPr>
        <w:t> de 2011. </w:t>
      </w:r>
    </w:p>
    <w:p w14:paraId="48D80A2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Helvetica"/>
          <w:sz w:val="22"/>
          <w:szCs w:val="22"/>
        </w:rPr>
      </w:pPr>
    </w:p>
    <w:p w14:paraId="230A16C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Tratándose de sentencias de contenido patrimonial o económico, el recurso procederá siempre que la cuantía de la condena o, en su defecto, de las pretensiones de la demanda, sea igual o exceda de los siguientes montos vigentes al momento de la interposición del recurso: </w:t>
      </w:r>
    </w:p>
    <w:p w14:paraId="55192C0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Helvetica"/>
          <w:sz w:val="22"/>
          <w:szCs w:val="22"/>
        </w:rPr>
      </w:pPr>
    </w:p>
    <w:p w14:paraId="41BC0BC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 xml:space="preserve">1. Doscientos cincuenta (250) salarios mínimos mensuales legales vigentes, en los procesos de nulidad y restablecimiento del derecho en que se controviertan actos administrativos </w:t>
      </w:r>
      <w:r w:rsidRPr="00CD7B09">
        <w:rPr>
          <w:rFonts w:ascii="Century Gothic" w:eastAsia="Garamond" w:hAnsi="Century Gothic" w:cs="Helvetica"/>
          <w:bCs/>
          <w:sz w:val="22"/>
          <w:szCs w:val="22"/>
        </w:rPr>
        <w:t>proferidos por cualquier autoridad pública.</w:t>
      </w:r>
      <w:r w:rsidRPr="00CD7B09">
        <w:rPr>
          <w:rFonts w:ascii="Century Gothic" w:eastAsia="Garamond" w:hAnsi="Century Gothic" w:cs="Helvetica"/>
          <w:sz w:val="22"/>
          <w:szCs w:val="22"/>
        </w:rPr>
        <w:t> </w:t>
      </w:r>
    </w:p>
    <w:p w14:paraId="661C79F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Helvetica"/>
          <w:sz w:val="22"/>
          <w:szCs w:val="22"/>
        </w:rPr>
      </w:pPr>
    </w:p>
    <w:p w14:paraId="6D805DD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2. Doscientos cincuenta (250) salarios mínimos mensuales legales vigentes, en los procesos que se promuevan sobre el monto, distribución o asignación de impuestos, contribuciones y tasas nacionales, departamentales, municipales o distritales. </w:t>
      </w:r>
    </w:p>
    <w:p w14:paraId="709DAC4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Helvetica"/>
          <w:sz w:val="22"/>
          <w:szCs w:val="22"/>
        </w:rPr>
      </w:pPr>
    </w:p>
    <w:p w14:paraId="6BE79E5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3. Cuatrocientos cincuenta (450) salarios mínimos mensuales legales vigentes, en los procesos sobre contratos de las entidades estatales, en sus distintos órdenes. </w:t>
      </w:r>
    </w:p>
    <w:p w14:paraId="2FB1B15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Helvetica"/>
          <w:sz w:val="22"/>
          <w:szCs w:val="22"/>
        </w:rPr>
      </w:pPr>
    </w:p>
    <w:p w14:paraId="4EED32B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 xml:space="preserve">4. Cuatrocientos cincuenta (450) salarios mínimos mensuales legales vigentes, en los procesos de reparación directa y en la repetición que el Estado ejerza contra los servidores o ex servidores públicos y personas </w:t>
      </w:r>
      <w:r w:rsidRPr="00CD7B09">
        <w:rPr>
          <w:rFonts w:ascii="Century Gothic" w:eastAsia="Garamond" w:hAnsi="Century Gothic" w:cs="Helvetica"/>
          <w:bCs/>
          <w:sz w:val="22"/>
          <w:szCs w:val="22"/>
        </w:rPr>
        <w:t>naturales o jurídicas</w:t>
      </w:r>
      <w:r w:rsidRPr="00CD7B09">
        <w:rPr>
          <w:rFonts w:ascii="Century Gothic" w:eastAsia="Garamond" w:hAnsi="Century Gothic" w:cs="Helvetica"/>
          <w:sz w:val="22"/>
          <w:szCs w:val="22"/>
        </w:rPr>
        <w:t xml:space="preserve"> que de conformidad con la ley cumplan funciones públicas. </w:t>
      </w:r>
    </w:p>
    <w:p w14:paraId="7CBE933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Helvetica"/>
          <w:sz w:val="22"/>
          <w:szCs w:val="22"/>
        </w:rPr>
      </w:pPr>
    </w:p>
    <w:p w14:paraId="3622291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Parágrafo. En los procesos de nulidad y restablecimiento del derecho de carácter laboral y pensional procederá el recurso extraordinario sin consideración de la cuantía. </w:t>
      </w:r>
    </w:p>
    <w:p w14:paraId="578FA3F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Este recurso no procederá para los asuntos previstos en los artículos </w:t>
      </w:r>
      <w:hyperlink r:id="rId10" w:anchor="86">
        <w:r w:rsidRPr="00CD7B09">
          <w:rPr>
            <w:rFonts w:ascii="Century Gothic" w:eastAsia="Garamond" w:hAnsi="Century Gothic" w:cs="Helvetica"/>
            <w:sz w:val="22"/>
            <w:szCs w:val="22"/>
          </w:rPr>
          <w:t>86</w:t>
        </w:r>
      </w:hyperlink>
      <w:r w:rsidRPr="00CD7B09">
        <w:rPr>
          <w:rFonts w:ascii="Century Gothic" w:eastAsia="Garamond" w:hAnsi="Century Gothic" w:cs="Helvetica"/>
          <w:sz w:val="22"/>
          <w:szCs w:val="22"/>
        </w:rPr>
        <w:t>, </w:t>
      </w:r>
      <w:hyperlink r:id="rId11" w:anchor="87">
        <w:r w:rsidRPr="00CD7B09">
          <w:rPr>
            <w:rFonts w:ascii="Century Gothic" w:eastAsia="Garamond" w:hAnsi="Century Gothic" w:cs="Helvetica"/>
            <w:sz w:val="22"/>
            <w:szCs w:val="22"/>
          </w:rPr>
          <w:t>87</w:t>
        </w:r>
      </w:hyperlink>
      <w:r w:rsidRPr="00CD7B09">
        <w:rPr>
          <w:rFonts w:ascii="Century Gothic" w:eastAsia="Garamond" w:hAnsi="Century Gothic" w:cs="Helvetica"/>
          <w:sz w:val="22"/>
          <w:szCs w:val="22"/>
        </w:rPr>
        <w:t> y </w:t>
      </w:r>
      <w:hyperlink r:id="rId12" w:anchor="88">
        <w:r w:rsidRPr="00CD7B09">
          <w:rPr>
            <w:rFonts w:ascii="Century Gothic" w:eastAsia="Garamond" w:hAnsi="Century Gothic" w:cs="Helvetica"/>
            <w:sz w:val="22"/>
            <w:szCs w:val="22"/>
          </w:rPr>
          <w:t>88</w:t>
        </w:r>
      </w:hyperlink>
      <w:r w:rsidRPr="00CD7B09">
        <w:rPr>
          <w:rFonts w:ascii="Century Gothic" w:eastAsia="Garamond" w:hAnsi="Century Gothic" w:cs="Helvetica"/>
          <w:sz w:val="22"/>
          <w:szCs w:val="22"/>
        </w:rPr>
        <w:t> de la Constitución Política. </w:t>
      </w:r>
    </w:p>
    <w:p w14:paraId="3C92D6B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Helvetica"/>
          <w:sz w:val="22"/>
          <w:szCs w:val="22"/>
        </w:rPr>
      </w:pPr>
    </w:p>
    <w:p w14:paraId="6843C7A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 xml:space="preserve">Parágrafo 2. El recurso extraordinario de unificación de jurisprudencia procederá en la Especialidad Agraria y Rural en los mismos términos previstos en esta Ley. </w:t>
      </w:r>
    </w:p>
    <w:p w14:paraId="0B4E383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Helvetica"/>
          <w:sz w:val="22"/>
          <w:szCs w:val="22"/>
        </w:rPr>
      </w:pPr>
    </w:p>
    <w:p w14:paraId="52CF6FD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Helvetica"/>
          <w:sz w:val="22"/>
          <w:szCs w:val="22"/>
        </w:rPr>
      </w:pPr>
    </w:p>
    <w:p w14:paraId="7B019CF5"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07EF62C3"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CAPÍTULO VII</w:t>
      </w:r>
    </w:p>
    <w:p w14:paraId="05AC7AC8"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Notificaciones, medidas cautelares, excepciones previas y acumulación procesal en el proceso agrario y rural</w:t>
      </w:r>
    </w:p>
    <w:p w14:paraId="44EEF704"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b/>
          <w:sz w:val="22"/>
          <w:szCs w:val="22"/>
        </w:rPr>
      </w:pPr>
    </w:p>
    <w:p w14:paraId="1E871C50"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4055E3F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87. Notificaciones. </w:t>
      </w:r>
      <w:r w:rsidRPr="00CD7B09">
        <w:rPr>
          <w:rFonts w:ascii="Century Gothic" w:eastAsia="Garamond" w:hAnsi="Century Gothic" w:cs="Garamond"/>
          <w:sz w:val="22"/>
          <w:szCs w:val="22"/>
        </w:rPr>
        <w:t>Las providencias se notificarán en las condiciones prescritas en esta ley y, en lo no previsto, de conformidad con lo dispuesto en la Ley 1564 de 2012.</w:t>
      </w:r>
    </w:p>
    <w:p w14:paraId="3A16FF01"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b/>
          <w:sz w:val="22"/>
          <w:szCs w:val="22"/>
        </w:rPr>
      </w:pPr>
    </w:p>
    <w:p w14:paraId="1F418A6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 xml:space="preserve">Artículo 88. Medidas cautelares, procedencia y trámite. </w:t>
      </w:r>
      <w:r w:rsidRPr="00CD7B09">
        <w:rPr>
          <w:rFonts w:ascii="Century Gothic" w:eastAsia="Garamond" w:hAnsi="Century Gothic" w:cs="Helvetica"/>
          <w:sz w:val="22"/>
          <w:szCs w:val="22"/>
        </w:rPr>
        <w:t>Las medidas cautelares procedentes en la justicia especial agraria y rural, de acuerdo con la jurisdicción ante la cual se tramiten y la naturaleza del asunto, se regirán por lo establecido en los artículos 229 a 241 de la Ley 1437 de 2011, así como en los artículos 590 a 604 de la Ley 1564 de 2012.</w:t>
      </w:r>
    </w:p>
    <w:p w14:paraId="30675E5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089C2AE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Así mismo, las medidas cautelares podrán ser decretadas de oficio, a través de decisión motivada.</w:t>
      </w:r>
    </w:p>
    <w:p w14:paraId="6A26587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
          <w:sz w:val="22"/>
          <w:szCs w:val="22"/>
        </w:rPr>
      </w:pPr>
    </w:p>
    <w:p w14:paraId="5C1E010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 xml:space="preserve">Parágrafo. </w:t>
      </w:r>
      <w:r w:rsidRPr="00CD7B09">
        <w:rPr>
          <w:rFonts w:ascii="Century Gothic" w:eastAsia="Garamond" w:hAnsi="Century Gothic" w:cs="Helvetica"/>
          <w:sz w:val="22"/>
          <w:szCs w:val="22"/>
        </w:rPr>
        <w:t xml:space="preserve">Sin perjuicio de lo establecido en este artículo, el </w:t>
      </w:r>
      <w:r w:rsidRPr="00CD7B09">
        <w:rPr>
          <w:rFonts w:ascii="Century Gothic" w:eastAsia="Garamond" w:hAnsi="Century Gothic" w:cs="Helvetica"/>
          <w:bCs/>
          <w:sz w:val="22"/>
          <w:szCs w:val="22"/>
        </w:rPr>
        <w:t xml:space="preserve">director del proceso </w:t>
      </w:r>
      <w:r w:rsidRPr="00CD7B09">
        <w:rPr>
          <w:rFonts w:ascii="Century Gothic" w:eastAsia="Garamond" w:hAnsi="Century Gothic" w:cs="Helvetica"/>
          <w:sz w:val="22"/>
          <w:szCs w:val="22"/>
        </w:rPr>
        <w:t>podrá decretar medidas cautelares de protección de predios en zonas de inminente desplazamiento o desplazamiento forzado, de acuerdo con la Ley 387 de 1997.</w:t>
      </w:r>
    </w:p>
    <w:p w14:paraId="0619BA1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
          <w:sz w:val="22"/>
          <w:szCs w:val="22"/>
        </w:rPr>
      </w:pPr>
    </w:p>
    <w:p w14:paraId="2405C53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 xml:space="preserve">Artículo 89. Excepciones previas. </w:t>
      </w:r>
      <w:r w:rsidRPr="00CD7B09">
        <w:rPr>
          <w:rFonts w:ascii="Century Gothic" w:eastAsia="Garamond" w:hAnsi="Century Gothic" w:cs="Helvetica"/>
          <w:sz w:val="22"/>
          <w:szCs w:val="22"/>
        </w:rPr>
        <w:t>Las excepciones previas que se propongan por las partes serán resueltas previamente a la realización de la audiencia pública de pruebas y alegatos, de acuerdo con lo previsto sobre el particular en esta ley.</w:t>
      </w:r>
    </w:p>
    <w:p w14:paraId="0C6B072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00FD290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Artículo 90. Acumulación procesal</w:t>
      </w:r>
      <w:r w:rsidRPr="00CD7B09">
        <w:rPr>
          <w:rFonts w:ascii="Century Gothic" w:eastAsia="Garamond" w:hAnsi="Century Gothic" w:cs="Helvetica"/>
          <w:sz w:val="22"/>
          <w:szCs w:val="22"/>
        </w:rPr>
        <w:t>. Cuando el objeto de la demanda verse sobre la tenencia, propiedad y/o posesión sobre un mismo predio, el juez agrario y rural o el juez agrario y rural administrativo acumulará los procesos judiciales respectivos. Lo anterior, sin perjuicio de lo establecido en el artículo 56 del Decreto Ley 902 de 2017.</w:t>
      </w:r>
    </w:p>
    <w:p w14:paraId="0B1C83B6"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5FF58222"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688E2D5A"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CAPÍTULO VIII</w:t>
      </w:r>
    </w:p>
    <w:p w14:paraId="316EB382"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Recursos ordinarios en el proceso agrario y rural</w:t>
      </w:r>
    </w:p>
    <w:p w14:paraId="7EE94595"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561F70A5"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 xml:space="preserve">Artículo 91. Procedencia del recurso de apelación. </w:t>
      </w:r>
      <w:r w:rsidRPr="00CD7B09">
        <w:rPr>
          <w:rFonts w:ascii="Century Gothic" w:eastAsia="Garamond" w:hAnsi="Century Gothic" w:cs="Helvetica"/>
          <w:sz w:val="22"/>
          <w:szCs w:val="22"/>
        </w:rPr>
        <w:t>Son apelables las sentencias de primera instancia dictadas por los jueces agrarios y rurales y por los jueces agrarios y rurales administrativos.</w:t>
      </w:r>
    </w:p>
    <w:p w14:paraId="0F314C2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Helvetica"/>
          <w:sz w:val="22"/>
          <w:szCs w:val="22"/>
        </w:rPr>
      </w:pPr>
    </w:p>
    <w:p w14:paraId="714412D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También serán apelables los siguientes autos:</w:t>
      </w:r>
    </w:p>
    <w:p w14:paraId="5B93C0A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4E52E54A" w14:textId="77777777" w:rsidR="00CB1679" w:rsidRPr="00CD7B09" w:rsidRDefault="00CB1679" w:rsidP="00CB1679">
      <w:pPr>
        <w:widowControl w:val="0"/>
        <w:numPr>
          <w:ilvl w:val="0"/>
          <w:numId w:val="81"/>
        </w:numPr>
        <w:pBdr>
          <w:top w:val="nil"/>
          <w:left w:val="nil"/>
          <w:bottom w:val="nil"/>
          <w:right w:val="nil"/>
          <w:between w:val="nil"/>
        </w:pBdr>
        <w:spacing w:after="160" w:line="259" w:lineRule="auto"/>
        <w:ind w:right="49"/>
        <w:jc w:val="both"/>
        <w:rPr>
          <w:rFonts w:ascii="Century Gothic" w:hAnsi="Century Gothic" w:cs="Helvetica"/>
          <w:sz w:val="22"/>
          <w:szCs w:val="22"/>
        </w:rPr>
      </w:pPr>
      <w:r w:rsidRPr="00CD7B09">
        <w:rPr>
          <w:rFonts w:ascii="Century Gothic" w:eastAsia="Garamond" w:hAnsi="Century Gothic" w:cs="Helvetica"/>
          <w:sz w:val="22"/>
          <w:szCs w:val="22"/>
        </w:rPr>
        <w:t>El que rechace la demanda, su reforma o la contestación a cualquiera de ellas.</w:t>
      </w:r>
    </w:p>
    <w:p w14:paraId="5D33362D" w14:textId="77777777" w:rsidR="00CB1679" w:rsidRPr="00CD7B09" w:rsidRDefault="00CB1679" w:rsidP="00CB1679">
      <w:pPr>
        <w:widowControl w:val="0"/>
        <w:numPr>
          <w:ilvl w:val="0"/>
          <w:numId w:val="81"/>
        </w:numPr>
        <w:pBdr>
          <w:top w:val="nil"/>
          <w:left w:val="nil"/>
          <w:bottom w:val="nil"/>
          <w:right w:val="nil"/>
          <w:between w:val="nil"/>
        </w:pBdr>
        <w:spacing w:after="160" w:line="259" w:lineRule="auto"/>
        <w:ind w:right="49"/>
        <w:jc w:val="both"/>
        <w:rPr>
          <w:rFonts w:ascii="Century Gothic" w:hAnsi="Century Gothic" w:cs="Helvetica"/>
          <w:bCs/>
          <w:sz w:val="22"/>
          <w:szCs w:val="22"/>
        </w:rPr>
      </w:pPr>
      <w:r w:rsidRPr="00CD7B09">
        <w:rPr>
          <w:rFonts w:ascii="Century Gothic" w:eastAsia="Garamond" w:hAnsi="Century Gothic" w:cs="Helvetica"/>
          <w:sz w:val="22"/>
          <w:szCs w:val="22"/>
        </w:rPr>
        <w:t xml:space="preserve">El que decrete </w:t>
      </w:r>
      <w:r w:rsidRPr="00CD7B09">
        <w:rPr>
          <w:rFonts w:ascii="Century Gothic" w:eastAsia="Garamond" w:hAnsi="Century Gothic" w:cs="Helvetica"/>
          <w:bCs/>
          <w:sz w:val="22"/>
          <w:szCs w:val="22"/>
        </w:rPr>
        <w:t>o niegue una medida cautelar.</w:t>
      </w:r>
    </w:p>
    <w:p w14:paraId="10B24493" w14:textId="77777777" w:rsidR="00CB1679" w:rsidRPr="00CD7B09" w:rsidRDefault="00CB1679" w:rsidP="00CB1679">
      <w:pPr>
        <w:widowControl w:val="0"/>
        <w:numPr>
          <w:ilvl w:val="0"/>
          <w:numId w:val="81"/>
        </w:numPr>
        <w:pBdr>
          <w:top w:val="nil"/>
          <w:left w:val="nil"/>
          <w:bottom w:val="nil"/>
          <w:right w:val="nil"/>
          <w:between w:val="nil"/>
        </w:pBdr>
        <w:spacing w:after="160" w:line="259" w:lineRule="auto"/>
        <w:ind w:right="49"/>
        <w:jc w:val="both"/>
        <w:rPr>
          <w:rFonts w:ascii="Century Gothic" w:hAnsi="Century Gothic" w:cs="Helvetica"/>
          <w:bCs/>
          <w:sz w:val="22"/>
          <w:szCs w:val="22"/>
        </w:rPr>
      </w:pPr>
      <w:r w:rsidRPr="00CD7B09">
        <w:rPr>
          <w:rFonts w:ascii="Century Gothic" w:eastAsia="Garamond" w:hAnsi="Century Gothic" w:cs="Helvetica"/>
          <w:bCs/>
          <w:sz w:val="22"/>
          <w:szCs w:val="22"/>
        </w:rPr>
        <w:t>El que ponga fin al proceso, salvo el que apruebe la conciliación.</w:t>
      </w:r>
    </w:p>
    <w:p w14:paraId="21FD8848" w14:textId="77777777" w:rsidR="00CB1679" w:rsidRPr="00CD7B09" w:rsidRDefault="00CB1679" w:rsidP="00CB1679">
      <w:pPr>
        <w:widowControl w:val="0"/>
        <w:numPr>
          <w:ilvl w:val="0"/>
          <w:numId w:val="81"/>
        </w:numPr>
        <w:pBdr>
          <w:top w:val="nil"/>
          <w:left w:val="nil"/>
          <w:bottom w:val="nil"/>
          <w:right w:val="nil"/>
          <w:between w:val="nil"/>
        </w:pBdr>
        <w:spacing w:after="160" w:line="259" w:lineRule="auto"/>
        <w:ind w:right="49"/>
        <w:jc w:val="both"/>
        <w:rPr>
          <w:rFonts w:ascii="Century Gothic" w:hAnsi="Century Gothic" w:cs="Helvetica"/>
          <w:bCs/>
          <w:sz w:val="22"/>
          <w:szCs w:val="22"/>
        </w:rPr>
      </w:pPr>
      <w:r w:rsidRPr="00CD7B09">
        <w:rPr>
          <w:rFonts w:ascii="Century Gothic" w:eastAsia="Garamond" w:hAnsi="Century Gothic" w:cs="Helvetica"/>
          <w:bCs/>
          <w:sz w:val="22"/>
          <w:szCs w:val="22"/>
        </w:rPr>
        <w:t>El que decrete o niegue cualquier nulidad procesal.</w:t>
      </w:r>
    </w:p>
    <w:p w14:paraId="1661F392" w14:textId="77777777" w:rsidR="00CB1679" w:rsidRPr="00CD7B09" w:rsidRDefault="00CB1679" w:rsidP="00CB1679">
      <w:pPr>
        <w:widowControl w:val="0"/>
        <w:numPr>
          <w:ilvl w:val="0"/>
          <w:numId w:val="81"/>
        </w:numPr>
        <w:pBdr>
          <w:top w:val="nil"/>
          <w:left w:val="nil"/>
          <w:bottom w:val="nil"/>
          <w:right w:val="nil"/>
          <w:between w:val="nil"/>
        </w:pBdr>
        <w:spacing w:after="160" w:line="259" w:lineRule="auto"/>
        <w:ind w:right="49"/>
        <w:jc w:val="both"/>
        <w:rPr>
          <w:rFonts w:ascii="Century Gothic" w:hAnsi="Century Gothic" w:cs="Helvetica"/>
          <w:sz w:val="22"/>
          <w:szCs w:val="22"/>
        </w:rPr>
      </w:pPr>
      <w:r w:rsidRPr="00CD7B09">
        <w:rPr>
          <w:rFonts w:ascii="Century Gothic" w:eastAsia="Garamond" w:hAnsi="Century Gothic" w:cs="Helvetica"/>
          <w:bCs/>
          <w:sz w:val="22"/>
          <w:szCs w:val="22"/>
        </w:rPr>
        <w:t>El que decrete o niegue el decreto o práctica de alguna prueba pedida oportunamente</w:t>
      </w:r>
      <w:r w:rsidRPr="00CD7B09">
        <w:rPr>
          <w:rFonts w:ascii="Century Gothic" w:eastAsia="Garamond" w:hAnsi="Century Gothic" w:cs="Helvetica"/>
          <w:sz w:val="22"/>
          <w:szCs w:val="22"/>
        </w:rPr>
        <w:t xml:space="preserve"> y el que distribuya la carga probatoria.</w:t>
      </w:r>
    </w:p>
    <w:p w14:paraId="46C9F17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Helvetica"/>
          <w:sz w:val="22"/>
          <w:szCs w:val="22"/>
        </w:rPr>
      </w:pPr>
    </w:p>
    <w:p w14:paraId="4C4162B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El recurso de apelación se concederá en efecto suspensivo respecto de los autos enunciados en los numerales 1 y 3. En cuanto a los autos de los numerales 2, 4 y 5 se concederá en el efecto devolutivo.</w:t>
      </w:r>
    </w:p>
    <w:p w14:paraId="03758D7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Helvetica"/>
          <w:sz w:val="22"/>
          <w:szCs w:val="22"/>
        </w:rPr>
      </w:pPr>
    </w:p>
    <w:p w14:paraId="4FC17097"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El trámite de la apelación contra sentencias se surtirá en la forma establecida en la Ley 1564 de 2012.</w:t>
      </w:r>
    </w:p>
    <w:p w14:paraId="4B092094"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3833B1C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 xml:space="preserve">Artículo 92. Procedencia del recurso de reposición. </w:t>
      </w:r>
      <w:r w:rsidRPr="00CD7B09">
        <w:rPr>
          <w:rFonts w:ascii="Century Gothic" w:eastAsia="Garamond" w:hAnsi="Century Gothic" w:cs="Helvetica"/>
          <w:sz w:val="22"/>
          <w:szCs w:val="22"/>
        </w:rPr>
        <w:t>El recurso de reposición procede contra todas las providencias interlocutorias que no sean apelables o suplicables y será improcedente frente a los autos de trámite, sin perjuicio de las solicitudes de aclaración o complementación, cuando se configuren los supuestos respectivos.</w:t>
      </w:r>
    </w:p>
    <w:p w14:paraId="3238A56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Helvetica"/>
          <w:sz w:val="22"/>
          <w:szCs w:val="22"/>
        </w:rPr>
      </w:pPr>
    </w:p>
    <w:p w14:paraId="422DD5B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El recurso de reposición no procede contra los autos que resuelvan los recursos de apelación, súplica o queja.</w:t>
      </w:r>
    </w:p>
    <w:p w14:paraId="736C3533"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1941EB6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El auto que decide la reposición no es susceptible de ningún recurso, salvo que contenga puntos no decididos en el anterior, caso en el cual podrán interponerse los recursos pertinentes respecto de los puntos nuevos.</w:t>
      </w:r>
    </w:p>
    <w:p w14:paraId="10F17EDB"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1B9C4B4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 xml:space="preserve">Artículo 93. Trámite de los recursos ordinarios. </w:t>
      </w:r>
      <w:r w:rsidRPr="00CD7B09">
        <w:rPr>
          <w:rFonts w:ascii="Century Gothic" w:eastAsia="Garamond" w:hAnsi="Century Gothic" w:cs="Helvetica"/>
          <w:bCs/>
          <w:sz w:val="22"/>
          <w:szCs w:val="22"/>
        </w:rPr>
        <w:t>En lo no contemplado en la presente ley, los recursos ordinarios de reposición, apelación, s</w:t>
      </w:r>
      <w:r w:rsidRPr="00CD7B09">
        <w:rPr>
          <w:rFonts w:ascii="Century Gothic" w:eastAsia="Garamond" w:hAnsi="Century Gothic" w:cs="Helvetica"/>
          <w:sz w:val="22"/>
          <w:szCs w:val="22"/>
        </w:rPr>
        <w:t>úplica y queja se tramitarán conforme a lo establecido en los artículos 318 a 332 y 352 a 353 de la Ley 1564 de 2012.</w:t>
      </w:r>
    </w:p>
    <w:p w14:paraId="5600098D"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5A7B599C"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CAPÍTULO IX</w:t>
      </w:r>
    </w:p>
    <w:p w14:paraId="4929AB62"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 xml:space="preserve">Recursos extraordinarios y avocación de competencia </w:t>
      </w:r>
    </w:p>
    <w:p w14:paraId="5EA0B627"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p>
    <w:p w14:paraId="5678D10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94. </w:t>
      </w:r>
      <w:r w:rsidRPr="00CD7B09">
        <w:rPr>
          <w:rFonts w:ascii="Century Gothic" w:eastAsia="Garamond" w:hAnsi="Century Gothic" w:cs="Garamond"/>
          <w:sz w:val="22"/>
          <w:szCs w:val="22"/>
        </w:rPr>
        <w:t>Adiciónese el Capítulo III en el Título VII de la Ley 1437 de 2011, el cual quedará así:</w:t>
      </w:r>
    </w:p>
    <w:p w14:paraId="73F8EC9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2F9922E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CAPÍTULO X</w:t>
      </w:r>
    </w:p>
    <w:p w14:paraId="20DD3E8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Mecanismo eventual de revisión para los asuntos agrarios y rurales</w:t>
      </w:r>
    </w:p>
    <w:p w14:paraId="62B5955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Helvetica"/>
          <w:b/>
          <w:sz w:val="22"/>
          <w:szCs w:val="22"/>
        </w:rPr>
      </w:pPr>
    </w:p>
    <w:p w14:paraId="6B30116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 xml:space="preserve">Artículo 95. </w:t>
      </w:r>
      <w:r w:rsidRPr="00CD7B09">
        <w:rPr>
          <w:rFonts w:ascii="Century Gothic" w:eastAsia="Garamond" w:hAnsi="Century Gothic" w:cs="Helvetica"/>
          <w:sz w:val="22"/>
          <w:szCs w:val="22"/>
        </w:rPr>
        <w:t>Adiciónese el artículo 274A a la Ley 1437 de 2011, el cual quedará así:</w:t>
      </w:r>
    </w:p>
    <w:p w14:paraId="2E19CAC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
          <w:sz w:val="22"/>
          <w:szCs w:val="22"/>
        </w:rPr>
      </w:pPr>
    </w:p>
    <w:p w14:paraId="2E8627D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Artículo 274A. Revisión eventual. Dentro de los diez (10) días siguientes a la ejecutoria de la sentencia o la providencia que ponga fin al proceso en un asunto agrario o rural que se tramite ante la jurisdicción de lo Contencioso Administrativo, el juez o tribunal competente de oficio, remitirá el expediente a la Sección Primera Subsección B de la Sala de lo Contencioso Administrativo del Consejo de Estado para su eventual revisión por razones de importancia jurídica, trascendencia económica o social o necesidad de unificar o de sentar jurisprudencia.</w:t>
      </w:r>
    </w:p>
    <w:p w14:paraId="6BB419C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Helvetica"/>
          <w:sz w:val="22"/>
          <w:szCs w:val="22"/>
        </w:rPr>
      </w:pPr>
    </w:p>
    <w:p w14:paraId="774D047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 xml:space="preserve">La decisión </w:t>
      </w:r>
      <w:r w:rsidRPr="00CD7B09">
        <w:rPr>
          <w:rFonts w:ascii="Century Gothic" w:eastAsia="Garamond" w:hAnsi="Century Gothic" w:cs="Helvetica"/>
          <w:bCs/>
          <w:sz w:val="22"/>
          <w:szCs w:val="22"/>
        </w:rPr>
        <w:t>que rechaza la selección</w:t>
      </w:r>
      <w:r w:rsidRPr="00CD7B09">
        <w:rPr>
          <w:rFonts w:ascii="Century Gothic" w:eastAsia="Garamond" w:hAnsi="Century Gothic" w:cs="Helvetica"/>
          <w:sz w:val="22"/>
          <w:szCs w:val="22"/>
        </w:rPr>
        <w:t xml:space="preserve"> de la providencia respectiva se debe proferir dentro de los dos (2) meses siguientes al recibo del proceso por parte de salas duales compuestas por Consejeros de la Subsección B de la Sala de lo Contencioso Administrativo del Consejo de Estado. La decisión de no selección de una providencia no requerirá motivación y se notificará por estado.</w:t>
      </w:r>
    </w:p>
    <w:p w14:paraId="60B10CB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0342A1D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96. </w:t>
      </w:r>
      <w:r w:rsidRPr="00CD7B09">
        <w:rPr>
          <w:rFonts w:ascii="Century Gothic" w:eastAsia="Garamond" w:hAnsi="Century Gothic" w:cs="Garamond"/>
          <w:sz w:val="22"/>
          <w:szCs w:val="22"/>
        </w:rPr>
        <w:t>Adiciónese el artículo 274B a la Ley 1437 de 2011, el cual quedará así:</w:t>
      </w:r>
    </w:p>
    <w:p w14:paraId="2E46FC7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7450086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Artículo 274B. Insistencia. Dentro de los quince (15) días siguientes a la notificación de la decisión que negó la selección, el Consejero de la Sección Primera Subsección B de la Sala de lo Contencioso Administrativo del Consejo de Estado que no participó en la decisión, el Procurador Delegado para Asuntos Ambientales, Agrarios y de Restitución de Tierras, el Defensor del Pueblo y la Agencia Nacional de Defensa Jurídica del Estado podrán insistir en la revisión de la providencia respectiva, argumentando las razones que hacen necesaria dicha determinación, de acuerdo con los criterios definidos en el artículo anterior.</w:t>
      </w:r>
    </w:p>
    <w:p w14:paraId="3D5FE1A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2260124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97. </w:t>
      </w:r>
      <w:r w:rsidRPr="00CD7B09">
        <w:rPr>
          <w:rFonts w:ascii="Century Gothic" w:eastAsia="Garamond" w:hAnsi="Century Gothic" w:cs="Garamond"/>
          <w:sz w:val="22"/>
          <w:szCs w:val="22"/>
        </w:rPr>
        <w:t>Adiciónese el artículo 274C a la Ley 1437 de 2011, el cual quedará así:</w:t>
      </w:r>
    </w:p>
    <w:p w14:paraId="5AAA862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5AEAA91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Artículo 274C. Efectos. El trámite de revisión eventual no suspende los efectos de la providencia seleccionada. Sin embargo, excepcionalmente y de forma motivada, la Subsección B del Consejo de Estado en su Sala Plena podrá suspender el cumplimiento de la providencia por razones de orden público o para evitar un perjuicio irremediable. </w:t>
      </w:r>
    </w:p>
    <w:p w14:paraId="7765C66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1679183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98. </w:t>
      </w:r>
      <w:r w:rsidRPr="00CD7B09">
        <w:rPr>
          <w:rFonts w:ascii="Century Gothic" w:eastAsia="Garamond" w:hAnsi="Century Gothic" w:cs="Garamond"/>
          <w:sz w:val="22"/>
          <w:szCs w:val="22"/>
        </w:rPr>
        <w:t>Adiciónese el artículo 274D a la Ley 1437 de 2011, el cual quedará así:</w:t>
      </w:r>
    </w:p>
    <w:p w14:paraId="3EA3A64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272E4AD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Artículo 274D. Decisión. Si prospera la revisión eventual, total o parcialmente, se invalidará, en lo pertinente, la sentencia o el auto, y se dictará la providencia de reemplazo o se adoptarán las disposiciones que correspondan, según el caso. Si la sentencia objeto de revisión se cumple en forma total o parcial, la sentencia de unificación dejará sin efectos los actos procesales realizados y dispondrá que el juez que tramitó la única o primera instancia ejecute las órdenes sobre las restituciones y adopte las medidas a que haya lugar.</w:t>
      </w:r>
    </w:p>
    <w:p w14:paraId="35F995D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42F5FF0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sentencia que decida sobre providencia revisada tendrá el carácter de sentencia de unificación y deberá proferirse dentro de los seis (6) meses siguientes a la fecha de su selección.</w:t>
      </w:r>
    </w:p>
    <w:p w14:paraId="72453935"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64B090A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99. </w:t>
      </w:r>
      <w:r w:rsidRPr="00CD7B09">
        <w:rPr>
          <w:rFonts w:ascii="Century Gothic" w:eastAsia="Garamond" w:hAnsi="Century Gothic" w:cs="Garamond"/>
          <w:sz w:val="22"/>
          <w:szCs w:val="22"/>
        </w:rPr>
        <w:t xml:space="preserve">Agréguese el artículo 421J a la Ley 1564 de 2012, el cual quedará </w:t>
      </w:r>
    </w:p>
    <w:p w14:paraId="64AA2DC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p>
    <w:p w14:paraId="6FAC418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Artículo 421J. Avocación de competencia en la especialidad agraria y rural de la jurisdicción ordinaria.</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Por razones de importancia jurídica, trascendencia económica o social o necesidad de sentar o unificar jurisprudencia, la Sala de Casación Civil, Agraria y Rural de la Corte Suprema de Justicia podrá asumir el conocimiento de los asuntos pendientes de fallo de única o de segunda instancia de las Salas Agrarias y Rurales de los Tribunales Superiores de Distrito Judicial, de oficio o a solicitud de parte, o por remisión de las Salas Agrarias y Rurales de los tribunales, o a petición del Ministerio Público o la Agencia Nacional de Defensa Jurídica del Estado en los procesos en que sea competente.</w:t>
      </w:r>
    </w:p>
    <w:p w14:paraId="3E5BB8E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p>
    <w:p w14:paraId="5FD076E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En estos casos corresponde a la Sala de Casación Civil, Agraria y Rural de la Corte Suprema de Justicia dictar sentencias de unificación jurisprudencial con efectos jurídicos en su respectiva jurisdicción.</w:t>
      </w:r>
    </w:p>
    <w:p w14:paraId="5B6ECD6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44CB569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Para asumir el trámite por solicitud de parte, petición del Ministerio Público o de la Agencia Nacional de Defensa Jurídica del Estado o por remisión de los Tribunales, se deberá exponer las circunstancias que imponen el conocimiento del proceso y las razones que determinan la importancia jurídica o trascendencia económica o social o la necesidad de unificar o sentar jurisprudencia.</w:t>
      </w:r>
    </w:p>
    <w:p w14:paraId="47C6AF9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2C4ACC3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solicitud que eleve una de las partes, el Ministerio Público o la Agencia Nacional de Defensa Jurídica del Estado para que la Sala de Casación Civil, Agraria y Rural de la Corte Suprema de Justicia asuma el conocimiento del proceso no suspenderá su trámite, salvo que la Corporación respectiva adopte dicha decisión.</w:t>
      </w:r>
    </w:p>
    <w:p w14:paraId="4C88E85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3B47333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Sala de Casación Civil, Agraria y Rural de la Corte Suprema de Justicia decidirá si avoca o no el conocimiento del asunto, mediante auto no susceptible de recursos.</w:t>
      </w:r>
    </w:p>
    <w:p w14:paraId="3583BED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1A3DD28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100. </w:t>
      </w:r>
      <w:r w:rsidRPr="00CD7B09">
        <w:rPr>
          <w:rFonts w:ascii="Century Gothic" w:eastAsia="Garamond" w:hAnsi="Century Gothic" w:cs="Garamond"/>
          <w:sz w:val="22"/>
          <w:szCs w:val="22"/>
        </w:rPr>
        <w:t>Adiciónese el Capítulo IV en el Título VII de la Ley 1437 de 2011, el cual quedará así:</w:t>
      </w:r>
    </w:p>
    <w:p w14:paraId="50C1EE9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3AE9F7A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CAPÍTULO XI</w:t>
      </w:r>
    </w:p>
    <w:p w14:paraId="3CCDDC3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sz w:val="22"/>
          <w:szCs w:val="22"/>
        </w:rPr>
      </w:pPr>
      <w:r w:rsidRPr="00CD7B09">
        <w:rPr>
          <w:rFonts w:ascii="Century Gothic" w:eastAsia="Garamond" w:hAnsi="Century Gothic" w:cs="Garamond"/>
          <w:sz w:val="22"/>
          <w:szCs w:val="22"/>
        </w:rPr>
        <w:t>Mecanismo de avocación de competencia en asuntos agrarios y rurales</w:t>
      </w:r>
    </w:p>
    <w:p w14:paraId="40860611"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b/>
          <w:sz w:val="22"/>
          <w:szCs w:val="22"/>
        </w:rPr>
      </w:pPr>
    </w:p>
    <w:p w14:paraId="70A39D1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101. </w:t>
      </w:r>
      <w:r w:rsidRPr="00CD7B09">
        <w:rPr>
          <w:rFonts w:ascii="Century Gothic" w:eastAsia="Garamond" w:hAnsi="Century Gothic" w:cs="Garamond"/>
          <w:sz w:val="22"/>
          <w:szCs w:val="22"/>
        </w:rPr>
        <w:t>Adiciónese el artículo 274E de la Ley 1437 de 2011, el cual quedará así:</w:t>
      </w:r>
    </w:p>
    <w:p w14:paraId="4FCDFF7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b/>
          <w:sz w:val="22"/>
          <w:szCs w:val="22"/>
        </w:rPr>
      </w:pPr>
    </w:p>
    <w:p w14:paraId="2CCEC4D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Artículo 274E. Avocación de competencia. Por razones de importancia jurídica, trascendencia económica o social o necesidad de sentar o unificar jurisprudencia, la Sección Primera Subsección B de la Sala de lo Contencioso Administrativo del Consejo de Estado podrá asumir el conocimiento de los asuntos pendientes de fallo de única o de segunda instancia de las Salas Agrarias y Rurales de los Tribunales Administrativos, de oficio o a solicitud de parte, o por remisión de las mismas salas Agrarias y Rurales de los tribunales, o a petición del Ministerio Público o la Agencia Nacional de Defensa Jurídica del Estado en los procesos en que sea competente</w:t>
      </w:r>
    </w:p>
    <w:p w14:paraId="1363081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5939F78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En estos casos corresponde a la Sección Primera Subsección B de la Sala de lo Contencioso Administrativo del Consejo de Estado dictar sentencias de unificación jurisprudencial con efectos jurídicos en la especialidad agraria y rural de la jurisdicción de lo contencioso administrativo.</w:t>
      </w:r>
    </w:p>
    <w:p w14:paraId="1FD8DC9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5D9366B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Para asumir el trámite por solicitud de parte, petición del Ministerio Público o de la Agencia Nacional de Defensa Jurídica del Estado o por remisión de los Tribunales, se deberá exponer las circunstancias que imponen el conocimiento del proceso y las razones que determinan la importancia jurídica o trascendencia económica o social o la necesidad de unificar o sentar jurisprudencia.</w:t>
      </w:r>
    </w:p>
    <w:p w14:paraId="7AD78C5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3A2F98A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solicitud que eleve una de las partes, el Ministerio Público o la Agencia Nacional de Defensa Jurídica del Estado para que la Sección Primera Subsección B de la Sala de lo Contencioso Administrativo del Consejo de Estado asuma el conocimiento del proceso no suspenderá su trámite, salvo que esta adopte dicha decisión.</w:t>
      </w:r>
    </w:p>
    <w:p w14:paraId="4EFF4D2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333FA3E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Sección Primera Subsección B de la Sala de lo Contencioso Administrativo del Consejo de Estado decidirá si avoca o no el conocimiento del asunto, mediante auto no susceptible de recursos.</w:t>
      </w:r>
    </w:p>
    <w:p w14:paraId="2B7F29B0"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Helvetica"/>
          <w:sz w:val="22"/>
          <w:szCs w:val="22"/>
        </w:rPr>
      </w:pPr>
    </w:p>
    <w:p w14:paraId="486EFFD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 xml:space="preserve">Artículo 102. </w:t>
      </w:r>
      <w:r w:rsidRPr="00CD7B09">
        <w:rPr>
          <w:rFonts w:ascii="Century Gothic" w:eastAsia="Garamond" w:hAnsi="Century Gothic" w:cs="Helvetica"/>
          <w:sz w:val="22"/>
          <w:szCs w:val="22"/>
        </w:rPr>
        <w:t>Adiciónese el artículo 351A a la Ley 1564 de 2012, el cual quedará así:</w:t>
      </w:r>
    </w:p>
    <w:p w14:paraId="65595F6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30ACCD47"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bCs/>
          <w:sz w:val="22"/>
          <w:szCs w:val="22"/>
        </w:rPr>
      </w:pPr>
      <w:r w:rsidRPr="00CD7B09">
        <w:rPr>
          <w:rFonts w:ascii="Century Gothic" w:eastAsia="Garamond" w:hAnsi="Century Gothic" w:cs="Helvetica"/>
          <w:sz w:val="22"/>
          <w:szCs w:val="22"/>
        </w:rPr>
        <w:t xml:space="preserve">Artículo 351A. Trámite del recurso. El recurso extraordinario de casación para asuntos agrarios y rurales se tramitará de acuerdo con las reglas </w:t>
      </w:r>
      <w:r w:rsidRPr="00CD7B09">
        <w:rPr>
          <w:rFonts w:ascii="Century Gothic" w:eastAsia="Garamond" w:hAnsi="Century Gothic" w:cs="Helvetica"/>
          <w:bCs/>
          <w:sz w:val="22"/>
          <w:szCs w:val="22"/>
        </w:rPr>
        <w:t xml:space="preserve">y causales contenidas en los artículos 333 y siguientes de este código. </w:t>
      </w:r>
    </w:p>
    <w:p w14:paraId="704BE9B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p>
    <w:p w14:paraId="2B530CC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Sin perjuicio de lo anterior, cuando una de las partes en el proceso, indistintamente del tipo de controversia de la que trate la causa, goce del amparo de pobreza o acredite su arraigo en el territorio rural y la pertenencia a los niveles 1 y 2 del SISBEN, o acredite la calidad de mujer rural en los términos establecidos por el artículo 2º de la Ley 731 de 2002, se prescindirá del requisito establecido en el artículo 338 de la Ley 1564 de 2012 y se privilegiará, siempre y cuando se cumplan los fines del recurso de casación, el estudio de fondo de las controversias sobre la valoración de los requisitos establecidos en el artículo 344 de la referida ley, teniendo en cuenta que el objeto de esta jurisdicción es conseguir la plena realización de la justicia en el área rural, en consonancia con los fines y principios generales del derecho agrario.</w:t>
      </w:r>
    </w:p>
    <w:p w14:paraId="2C1DA707"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089D79A2"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CAPÍTULO XII</w:t>
      </w:r>
    </w:p>
    <w:p w14:paraId="1C4FF746"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Relatoría</w:t>
      </w:r>
    </w:p>
    <w:p w14:paraId="42CDED7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711C523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103. Relatoría para las especialidades agrarias y rurales. </w:t>
      </w:r>
      <w:r w:rsidRPr="00CD7B09">
        <w:rPr>
          <w:rFonts w:ascii="Century Gothic" w:eastAsia="Garamond" w:hAnsi="Century Gothic" w:cs="Garamond"/>
          <w:sz w:val="22"/>
          <w:szCs w:val="22"/>
        </w:rPr>
        <w:t>Las relatorías de la Sala de Casación Civil, Agraria y Rural de la Corte Suprema de Justicia y de la Sección Primera del Consejo de Estado deberán efectuar un análisis de las decisiones proferidas en materia agraria y rural con el fin de identificar de manera clara y expresa los siguientes aspectos:</w:t>
      </w:r>
    </w:p>
    <w:p w14:paraId="668BBDB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br/>
        <w:t>1. El desarrollo de líneas jurisprudenciales en cada jurisdicción en materia agraria y rural;</w:t>
      </w:r>
    </w:p>
    <w:p w14:paraId="19FAAB8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Century Gothic" w:eastAsia="Garamond" w:hAnsi="Century Gothic" w:cs="Garamond"/>
          <w:sz w:val="22"/>
          <w:szCs w:val="22"/>
        </w:rPr>
      </w:pPr>
    </w:p>
    <w:p w14:paraId="4093A99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2. Las discrepancias interpretativas entre ambas jurisdicciones;</w:t>
      </w:r>
    </w:p>
    <w:p w14:paraId="7BDE0B9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Century Gothic" w:eastAsia="Garamond" w:hAnsi="Century Gothic" w:cs="Garamond"/>
          <w:sz w:val="22"/>
          <w:szCs w:val="22"/>
        </w:rPr>
      </w:pPr>
    </w:p>
    <w:p w14:paraId="106FF58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3. El seguimiento a la sustanciación de casos que puedan ameritar el uso del mecanismo de avocación de competencia.</w:t>
      </w:r>
    </w:p>
    <w:p w14:paraId="322BFD9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Century Gothic" w:eastAsia="Garamond" w:hAnsi="Century Gothic" w:cs="Garamond"/>
          <w:sz w:val="22"/>
          <w:szCs w:val="22"/>
        </w:rPr>
      </w:pPr>
    </w:p>
    <w:p w14:paraId="5CAB40E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Frente a los aspectos señalados en este artículo, ambas jurisdicciones deberán disponer de los mecanismos pertinentes para comunicar mutuamente sus hallazgos y para garantizar el acceso para consulta por parte de los ciudadanos. </w:t>
      </w:r>
    </w:p>
    <w:p w14:paraId="30E58B40"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sz w:val="22"/>
          <w:szCs w:val="22"/>
        </w:rPr>
      </w:pPr>
    </w:p>
    <w:p w14:paraId="711BEBF7"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CAPÍTULO XIII</w:t>
      </w:r>
    </w:p>
    <w:p w14:paraId="57385B24"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Acción popular y de grupo de carácter agrario y rural</w:t>
      </w:r>
    </w:p>
    <w:p w14:paraId="280D4A06"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20DD88C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104. </w:t>
      </w:r>
      <w:r w:rsidRPr="00CD7B09">
        <w:rPr>
          <w:rFonts w:ascii="Century Gothic" w:eastAsia="Garamond" w:hAnsi="Century Gothic" w:cs="Garamond"/>
          <w:sz w:val="22"/>
          <w:szCs w:val="22"/>
        </w:rPr>
        <w:t>Modifíquese el artículo 15 de la Ley 472 de 1998, el cual quedará así:</w:t>
      </w:r>
    </w:p>
    <w:p w14:paraId="6DD4B71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14800EA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Artículo 15. Jurisdicción. La jurisdicción de lo Contencioso Administrativo conocerá de los procesos que se susciten con ocasión del ejercicio de las Acciones Populares originadas en actos, acciones u omisiones de las entidades públicas y de las personas privadas que desempeñen funciones administrativas, de conformidad con lo dispuesto en las disposiciones vigentes sobre la materia</w:t>
      </w:r>
      <w:r w:rsidRPr="00CD7B09">
        <w:rPr>
          <w:rFonts w:ascii="Century Gothic" w:eastAsia="Garamond" w:hAnsi="Century Gothic" w:cs="Garamond"/>
          <w:i/>
          <w:sz w:val="22"/>
          <w:szCs w:val="22"/>
        </w:rPr>
        <w:t>.</w:t>
      </w:r>
    </w:p>
    <w:p w14:paraId="0FBEB95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i/>
          <w:sz w:val="22"/>
          <w:szCs w:val="22"/>
        </w:rPr>
      </w:pPr>
    </w:p>
    <w:p w14:paraId="22DA146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especialidad agraria y rural de la jurisdicción de lo contencioso administrativo conocerá de los procesos que se susciten con ocasión del ejercicio de las acciones populares originadas en actos, acciones y omisiones de las entidades públicas y de las personas privadas que desempeñen funciones administrativas, que involucren bienes inmuebles ubicados en suelo clasificado como rural, de conformidad con las disposiciones vigentes sobre la materia.</w:t>
      </w:r>
    </w:p>
    <w:p w14:paraId="234E8C2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highlight w:val="green"/>
        </w:rPr>
      </w:pPr>
    </w:p>
    <w:p w14:paraId="1763F6A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En los demás casos, conocerá la especialidad civil de la jurisdicción ordinaria. La especialidad agraria y rural de la jurisdicción ordinaria conocerá de las acciones populares entre particulares por la violación o amenaza de los derechos e intereses colectivos que involucren bienes inmuebles ubicados en suelo clasificado como rural, o que se refieran a relaciones económicas de naturaleza agraria.</w:t>
      </w:r>
    </w:p>
    <w:p w14:paraId="70FB5FB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highlight w:val="green"/>
        </w:rPr>
      </w:pPr>
    </w:p>
    <w:p w14:paraId="76945FB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 xml:space="preserve">Artículo 105. </w:t>
      </w:r>
      <w:r w:rsidRPr="00CD7B09">
        <w:rPr>
          <w:rFonts w:ascii="Century Gothic" w:eastAsia="Garamond" w:hAnsi="Century Gothic" w:cs="Helvetica"/>
          <w:sz w:val="22"/>
          <w:szCs w:val="22"/>
        </w:rPr>
        <w:t>Modifíquese el artículo 16 de la Ley 472 de 1998, el cual quedará así:</w:t>
      </w:r>
    </w:p>
    <w:p w14:paraId="35283D0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Helvetica"/>
          <w:sz w:val="22"/>
          <w:szCs w:val="22"/>
        </w:rPr>
      </w:pPr>
    </w:p>
    <w:p w14:paraId="63BB12A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Artículo 16. Competencia.</w:t>
      </w:r>
      <w:r w:rsidRPr="00CD7B09">
        <w:rPr>
          <w:rFonts w:ascii="Century Gothic" w:eastAsia="Garamond" w:hAnsi="Century Gothic" w:cs="Helvetica"/>
          <w:i/>
          <w:sz w:val="22"/>
          <w:szCs w:val="22"/>
        </w:rPr>
        <w:t xml:space="preserve"> </w:t>
      </w:r>
      <w:r w:rsidRPr="00CD7B09">
        <w:rPr>
          <w:rFonts w:ascii="Century Gothic" w:eastAsia="Garamond" w:hAnsi="Century Gothic" w:cs="Helvetica"/>
          <w:sz w:val="22"/>
          <w:szCs w:val="22"/>
        </w:rPr>
        <w:t>De las acciones populares conocerán en primera instancia los jueces administrativos, los jueces agrarios y rurales administrativos, los jueces civiles de circuito y los jueces agrarios y rurales. En segunda instancia, la competencia corresponderá al Tribunal Administrativo o al Tribunal Superior de Distrito Judicial de la especialidad y jurisdicción a la que pertenezca el juez de primera instancia.</w:t>
      </w:r>
    </w:p>
    <w:p w14:paraId="1AC6B4C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Helvetica"/>
          <w:sz w:val="22"/>
          <w:szCs w:val="22"/>
        </w:rPr>
      </w:pPr>
    </w:p>
    <w:p w14:paraId="5413288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 xml:space="preserve">Será competente el juez del lugar de ocurrencia de los hechos o el del domicilio del demandado a elección del </w:t>
      </w:r>
      <w:r w:rsidRPr="00CD7B09">
        <w:rPr>
          <w:rFonts w:ascii="Century Gothic" w:eastAsia="Garamond" w:hAnsi="Century Gothic" w:cs="Helvetica"/>
          <w:bCs/>
          <w:sz w:val="22"/>
          <w:szCs w:val="22"/>
        </w:rPr>
        <w:t xml:space="preserve">accionante. Cuando por los hechos sean varios los jueces competentes, conocerá a prevención el juez ante el cual se hubiere presentado la acción. En los </w:t>
      </w:r>
      <w:r w:rsidRPr="00CD7B09">
        <w:rPr>
          <w:rFonts w:ascii="Century Gothic" w:eastAsia="Garamond" w:hAnsi="Century Gothic" w:cs="Helvetica"/>
          <w:sz w:val="22"/>
          <w:szCs w:val="22"/>
        </w:rPr>
        <w:t xml:space="preserve">asuntos agrarios y rurales se aplicarán las normas de competencia territorial establecidas en la norma especial. </w:t>
      </w:r>
    </w:p>
    <w:p w14:paraId="7E06161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b/>
          <w:sz w:val="22"/>
          <w:szCs w:val="22"/>
          <w:highlight w:val="green"/>
        </w:rPr>
      </w:pPr>
    </w:p>
    <w:p w14:paraId="4A8A246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106. </w:t>
      </w:r>
      <w:r w:rsidRPr="00CD7B09">
        <w:rPr>
          <w:rFonts w:ascii="Century Gothic" w:eastAsia="Garamond" w:hAnsi="Century Gothic" w:cs="Garamond"/>
          <w:sz w:val="22"/>
          <w:szCs w:val="22"/>
        </w:rPr>
        <w:t>Modifíquese el artículo 50 de la Ley 472 de 1998, el cual quedará así:</w:t>
      </w:r>
    </w:p>
    <w:p w14:paraId="30A4731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b/>
          <w:sz w:val="22"/>
          <w:szCs w:val="22"/>
        </w:rPr>
      </w:pPr>
    </w:p>
    <w:p w14:paraId="2FE01F1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Artículo 50. Jurisdicción.</w:t>
      </w:r>
      <w:r w:rsidRPr="00CD7B09">
        <w:rPr>
          <w:rFonts w:ascii="Century Gothic" w:eastAsia="Garamond" w:hAnsi="Century Gothic" w:cs="Garamond"/>
          <w:i/>
          <w:sz w:val="22"/>
          <w:szCs w:val="22"/>
        </w:rPr>
        <w:t xml:space="preserve"> </w:t>
      </w:r>
      <w:r w:rsidRPr="00CD7B09">
        <w:rPr>
          <w:rFonts w:ascii="Century Gothic" w:eastAsia="Garamond" w:hAnsi="Century Gothic" w:cs="Garamond"/>
          <w:sz w:val="22"/>
          <w:szCs w:val="22"/>
        </w:rPr>
        <w:t>La jurisdicción de lo Contencioso Administrativo conocerá de los procesos que se susciten con ocasión del ejercicio de las acciones de grupo originadas en la actividad de las entidades públicas y de las personas privadas que desempeñen funciones administrativas.</w:t>
      </w:r>
    </w:p>
    <w:p w14:paraId="4416424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i/>
          <w:sz w:val="22"/>
          <w:szCs w:val="22"/>
        </w:rPr>
      </w:pPr>
    </w:p>
    <w:p w14:paraId="24F94DC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especialidad agraria y rural de la jurisdicción de lo Contencioso Administrativo conocerá de las acciones de grupo originadas en la actividad de las entidades públicas y de las personas privadas que desempeñen funciones administrativas que involucren bienes inmuebles ubicados en suelo clasificado como rural, de conformidad con las disposiciones vigentes sobre la materia.</w:t>
      </w:r>
    </w:p>
    <w:p w14:paraId="0B287BD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Century Gothic" w:eastAsia="Garamond" w:hAnsi="Century Gothic" w:cs="Garamond"/>
          <w:sz w:val="22"/>
          <w:szCs w:val="22"/>
        </w:rPr>
      </w:pPr>
    </w:p>
    <w:p w14:paraId="2B22DC3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 jurisdicción civil ordinaria conocerá de los demás procesos que se susciten con ocasión del ejercicio de las acciones de grupo. La especialidad agraria y rural de la jurisdicción ordinaria conocerá de las acciones de grupo entre particulares, siempre que la controversia sea de carácter agrario y rural.</w:t>
      </w:r>
    </w:p>
    <w:p w14:paraId="7366006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2B2AE0B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 xml:space="preserve">Artículo 107. </w:t>
      </w:r>
      <w:r w:rsidRPr="00CD7B09">
        <w:rPr>
          <w:rFonts w:ascii="Century Gothic" w:eastAsia="Garamond" w:hAnsi="Century Gothic" w:cs="Helvetica"/>
          <w:sz w:val="22"/>
          <w:szCs w:val="22"/>
        </w:rPr>
        <w:t>Modifíquese el artículo 51 de la Ley 472 de 1998, el cual quedará así:</w:t>
      </w:r>
    </w:p>
    <w:p w14:paraId="26FA954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763DC0B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Artículo 51. Competencia.</w:t>
      </w:r>
      <w:r w:rsidRPr="00CD7B09">
        <w:rPr>
          <w:rFonts w:ascii="Century Gothic" w:eastAsia="Garamond" w:hAnsi="Century Gothic" w:cs="Helvetica"/>
          <w:i/>
          <w:sz w:val="22"/>
          <w:szCs w:val="22"/>
        </w:rPr>
        <w:t xml:space="preserve"> </w:t>
      </w:r>
      <w:r w:rsidRPr="00CD7B09">
        <w:rPr>
          <w:rFonts w:ascii="Century Gothic" w:eastAsia="Garamond" w:hAnsi="Century Gothic" w:cs="Helvetica"/>
          <w:sz w:val="22"/>
          <w:szCs w:val="22"/>
        </w:rPr>
        <w:t>De las acciones de grupo conocerán en primera instancia los jueces administrativos, los jueces agrarios y rurales administrativos, los jueces civiles de circuito y los jueces agrarios y rurales. En segunda instancia la competencia corresponderá al Tribunal Administrativo o al Tribunal del Distrito Judicial de la especialidad y jurisdicción a la que pertenezca el juez de primera instancia.</w:t>
      </w:r>
    </w:p>
    <w:p w14:paraId="3A1763A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p>
    <w:p w14:paraId="2E57E86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 xml:space="preserve">Será competente el juez de lugar de ocurrencia de los hechos o el del domicilio del </w:t>
      </w:r>
      <w:r w:rsidRPr="00CD7B09">
        <w:rPr>
          <w:rFonts w:ascii="Century Gothic" w:eastAsia="Garamond" w:hAnsi="Century Gothic" w:cs="Helvetica"/>
          <w:bCs/>
          <w:sz w:val="22"/>
          <w:szCs w:val="22"/>
        </w:rPr>
        <w:t>accionado o accionante</w:t>
      </w:r>
      <w:r w:rsidRPr="00CD7B09">
        <w:rPr>
          <w:rFonts w:ascii="Century Gothic" w:eastAsia="Garamond" w:hAnsi="Century Gothic" w:cs="Helvetica"/>
          <w:sz w:val="22"/>
          <w:szCs w:val="22"/>
        </w:rPr>
        <w:t xml:space="preserve">, a elección de éste. Cuando por los hechos sean varios los jueces competentes, conocerá a prevención el juez ante el cual se hubiere presentado la </w:t>
      </w:r>
      <w:r w:rsidRPr="00CD7B09">
        <w:rPr>
          <w:rFonts w:ascii="Century Gothic" w:eastAsia="Garamond" w:hAnsi="Century Gothic" w:cs="Helvetica"/>
          <w:bCs/>
          <w:sz w:val="22"/>
          <w:szCs w:val="22"/>
        </w:rPr>
        <w:t>acción</w:t>
      </w:r>
      <w:r w:rsidRPr="00CD7B09">
        <w:rPr>
          <w:rFonts w:ascii="Century Gothic" w:eastAsia="Garamond" w:hAnsi="Century Gothic" w:cs="Helvetica"/>
          <w:sz w:val="22"/>
          <w:szCs w:val="22"/>
        </w:rPr>
        <w:t>. En los asuntos agrarios y rurales se aplicarán las normas de competencia territorial establecidas en la norma especial.</w:t>
      </w:r>
    </w:p>
    <w:p w14:paraId="7D7B50E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Helvetica"/>
          <w:sz w:val="22"/>
          <w:szCs w:val="22"/>
        </w:rPr>
      </w:pPr>
    </w:p>
    <w:p w14:paraId="7EDB31BC"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CAPÍTULO XIV</w:t>
      </w:r>
    </w:p>
    <w:p w14:paraId="3A1003B1"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Remisiones y aspectos no regulados</w:t>
      </w:r>
    </w:p>
    <w:p w14:paraId="136A63A9"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p>
    <w:p w14:paraId="737E135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108. Aspectos no regulados. </w:t>
      </w:r>
      <w:r w:rsidRPr="00CD7B09">
        <w:rPr>
          <w:rFonts w:ascii="Century Gothic" w:eastAsia="Garamond" w:hAnsi="Century Gothic" w:cs="Garamond"/>
          <w:sz w:val="22"/>
          <w:szCs w:val="22"/>
        </w:rPr>
        <w:t>En los aspectos procesales no contemplados en esta ley, respecto al trámite del proceso agrario y rural que se tramita ante la Especialidad Agraria y Rural de la Jurisdicción Ordinaria se seguirá el Código General del Proceso, en lo que sea compatible con la naturaleza de los procesos y actuaciones contempladas en esta norma.</w:t>
      </w:r>
    </w:p>
    <w:p w14:paraId="46BA209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6D803AA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En los aspectos procesales no contemplados en esta ley, respecto al trámite del proceso agrario y rural que se tramita ante la Especialidad Agraria y Rural de la Jurisdicción de lo Contencioso Administrativo se seguirá el Código de Procedimiento Administrativo y de lo Contencioso Administrativo, en lo que sea compatible con la naturaleza de los procesos y actuaciones contempladas en esta norma, teniendo en cuenta lo dispuesto por el artículo 306 de ese estatuto.</w:t>
      </w:r>
    </w:p>
    <w:p w14:paraId="6B57330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0B4D278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Contra las providencias proferidas en la Especialidad Agraria y Rural de la Jurisdicción de lo Contencioso Administrativo procederán los recursos extraordinarios regulados en la Ley 1437 de 2011 en sus términos y reglas fijados, siempre que sean compatibles con la naturaleza de los procesos y actuaciones contempladas en esta ley.</w:t>
      </w:r>
    </w:p>
    <w:p w14:paraId="29F312E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6D28269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El trámite de las acciones populares y de grupo se regulará por lo dispuesto en la Ley 472 de 1998.</w:t>
      </w:r>
    </w:p>
    <w:p w14:paraId="385D5B6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70894614"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TÍTULO IV</w:t>
      </w:r>
    </w:p>
    <w:p w14:paraId="5D52532B"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b/>
          <w:sz w:val="22"/>
          <w:szCs w:val="22"/>
        </w:rPr>
      </w:pPr>
    </w:p>
    <w:p w14:paraId="3A4D73A9"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MÉTODOS DE RESOLUCIÓN DE CONFLICTOS EN ASUNTOS AGRARIOS Y RURALES</w:t>
      </w:r>
    </w:p>
    <w:p w14:paraId="485AE878"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629527C5"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109. Procedencia de la conciliación. </w:t>
      </w:r>
      <w:r w:rsidRPr="00CD7B09">
        <w:rPr>
          <w:rFonts w:ascii="Century Gothic" w:eastAsia="Garamond" w:hAnsi="Century Gothic" w:cs="Garamond"/>
          <w:sz w:val="22"/>
          <w:szCs w:val="22"/>
        </w:rPr>
        <w:t xml:space="preserve">Se podrán conciliar las materias de naturaleza agraria y rural que sean susceptibles de transacción, desistimiento, siempre que la ley no lo prohíba. Igualmente, ante la Procuraduría General de la Nación podrán conciliarse las pretensiones de contenido económico de las demandas de nulidad y restablecimiento del derecho contra actos administrativos. </w:t>
      </w:r>
    </w:p>
    <w:p w14:paraId="0F23AB2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6669B0F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El conciliador en derecho, incluyendo el adjunto al despacho judicial, el servidor público habilitado para conciliar o el notario, deberán corroborar la procedencia de la solicitud de conciliación, de acuerdo con la naturaleza del asunto y previa acreditación de los requisitos establecidos en esta ley, y en las normas vigentes que regulan la conciliación. Para ello, los mencionados operadores podrán consultar el informe técnico jurídico elaborado por la Agencia Nacional de Tierras, así como las pruebas que obren en el expediente administrativo que se haya conformado y las que aporte el convocante con la solicitud, o alguno de los interesados ante la misma entidad.</w:t>
      </w:r>
    </w:p>
    <w:p w14:paraId="7FB5C2B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7AFD183D"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110. Conciliación prejudicial en asuntos de índole agraria y rural. </w:t>
      </w:r>
      <w:r w:rsidRPr="00CD7B09">
        <w:rPr>
          <w:rFonts w:ascii="Century Gothic" w:eastAsia="Garamond" w:hAnsi="Century Gothic" w:cs="Garamond"/>
          <w:sz w:val="22"/>
          <w:szCs w:val="22"/>
        </w:rPr>
        <w:t xml:space="preserve">La conciliación prejudicial no será requisito de procedibilidad para acudir ante los jueces agrarios y rurales. </w:t>
      </w:r>
    </w:p>
    <w:p w14:paraId="5A97C9EE"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0C2A8D59" w14:textId="77777777" w:rsidR="00CB1679" w:rsidRPr="00CD7B09" w:rsidRDefault="00CB1679" w:rsidP="00CB1679">
      <w:pPr>
        <w:widowControl w:val="0"/>
        <w:pBdr>
          <w:top w:val="nil"/>
          <w:left w:val="nil"/>
          <w:bottom w:val="nil"/>
          <w:right w:val="nil"/>
          <w:between w:val="nil"/>
        </w:pBdr>
        <w:tabs>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No obstante,</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sin perjuicio de la disposición del presente artículo, las autoridades nacionales y locales, bajo el liderazgo del Ministerio de Justicia y del Derecho en coordinación con el Ministerio de Agricultura y Desarrollo Rural y la Agencia de Nacional de Tierras o las entidades que hagan sus veces, promoverán campañas de fácil acceso a la población rural y vulnerable, orientadas a promover el uso del mecanismo de la conciliación, incluida la conciliación en equidad, y demás mecanismos alternativos de solución de conflictos en materia agraria y de tierras.</w:t>
      </w:r>
    </w:p>
    <w:p w14:paraId="577D59A9"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7EE5896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111. Competencia para conciliar. </w:t>
      </w:r>
      <w:r w:rsidRPr="00CD7B09">
        <w:rPr>
          <w:rFonts w:ascii="Century Gothic" w:eastAsia="Garamond" w:hAnsi="Century Gothic" w:cs="Garamond"/>
          <w:sz w:val="22"/>
          <w:szCs w:val="22"/>
        </w:rPr>
        <w:t xml:space="preserve">La conciliación relativa a asuntos de conocimiento de la Especialidad Agraria y Rural podrá adelantarse ante los siguientes operadores: (i) el juez que conozca del proceso, (ii) el conciliador adjunto al despacho judicial, (iii) los funcionarios que la Procuraduría General de la Nación designe, (iv) la Agencia Nacional de Tierras, (v) los notarios, (vi) los funcionarios que la Defensoría del Pueblo designe, (vii) los personeros municipales y distritales, y (viii) los centros de conciliación autorizados por el Ministerio de Justicia y del Derecho. </w:t>
      </w:r>
    </w:p>
    <w:p w14:paraId="46D5FD0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1A59CFA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Parágrafo. </w:t>
      </w:r>
      <w:r w:rsidRPr="00CD7B09">
        <w:rPr>
          <w:rFonts w:ascii="Century Gothic" w:eastAsia="Garamond" w:hAnsi="Century Gothic" w:cs="Garamond"/>
          <w:sz w:val="22"/>
          <w:szCs w:val="22"/>
        </w:rPr>
        <w:t>La Agencia Nacional de Tierras dispondrá de un equipo jurídico que, previa formación y capacitación por entidades avaladas por el Ministerio de Justicia y del Derecho, tenga la calidad de conciliadores en los asuntos de índole agraria y rural, de conformidad con las normas que regulan la materia.</w:t>
      </w:r>
    </w:p>
    <w:p w14:paraId="027F79F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6F775CE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r w:rsidRPr="00CD7B09">
        <w:rPr>
          <w:rFonts w:ascii="Century Gothic" w:eastAsia="Garamond" w:hAnsi="Century Gothic" w:cs="Garamond"/>
          <w:sz w:val="22"/>
          <w:szCs w:val="22"/>
        </w:rPr>
        <w:t>Los estudiantes de las Facultades de Derecho que obtengan licencia temporal para el ejercicio de la profesión, de acuerdo con las normas vigentes sobre la materia, podrán realizar su judicatura como conciliadores en asuntos agrarios al servicio de la Agencia Nacional de Tierras, la cual podrá celebrar convenios con las universidades para tal finalidad, en tanto resulten pertinentes, siempre y cuando se cumplan los requerimientos establecidos en los Parágrafos 1 y 2 del artículo 11 de la Ley 640 de 2001 y demás normas reglamentarias</w:t>
      </w:r>
      <w:r w:rsidRPr="00CD7B09">
        <w:rPr>
          <w:rFonts w:ascii="Century Gothic" w:eastAsia="Garamond" w:hAnsi="Century Gothic" w:cs="Garamond"/>
          <w:b/>
          <w:sz w:val="22"/>
          <w:szCs w:val="22"/>
        </w:rPr>
        <w:t>.</w:t>
      </w:r>
    </w:p>
    <w:p w14:paraId="51334DFA"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384354C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112. Audiencia de conciliación. </w:t>
      </w:r>
      <w:r w:rsidRPr="00CD7B09">
        <w:rPr>
          <w:rFonts w:ascii="Century Gothic" w:eastAsia="Garamond" w:hAnsi="Century Gothic" w:cs="Garamond"/>
          <w:sz w:val="22"/>
          <w:szCs w:val="22"/>
        </w:rPr>
        <w:t>La audiencia de conciliación se llevará a cabo en la fecha que disponga el conciliador o en el mismo momento y lugar en donde se presente la solicitud elevada por las partes, evitando cualquier dilación para su trámite, la cual se someterá a lo señalado en el artículo 20 de la Ley 640 de 2001.</w:t>
      </w:r>
    </w:p>
    <w:p w14:paraId="0A1716E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32D75F6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Parágrafo. </w:t>
      </w:r>
      <w:r w:rsidRPr="00CD7B09">
        <w:rPr>
          <w:rFonts w:ascii="Century Gothic" w:eastAsia="Garamond" w:hAnsi="Century Gothic" w:cs="Garamond"/>
          <w:sz w:val="22"/>
          <w:szCs w:val="22"/>
        </w:rPr>
        <w:t>El Gobierno Nacional reglamentará la prestación del servicio de conciliación y de los demás métodos de solución de conflictos autorizados por el Ministerio de Justicia y del Derecho, por parte de los centros de conciliación y arbitraje, por fuera de su sede principal, para la solución de las controversias de naturaleza agraria y rural, con el fin de implementar lo descrito en el Acuerdo Final para la terminación del conflicto y la construcción de una paz estable y duradera.</w:t>
      </w:r>
    </w:p>
    <w:p w14:paraId="0B7311EA"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5882F348"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113. Aprobación judicial del Acuerdo de conciliación. </w:t>
      </w:r>
      <w:r w:rsidRPr="00CD7B09">
        <w:rPr>
          <w:rFonts w:ascii="Century Gothic" w:eastAsia="Garamond" w:hAnsi="Century Gothic" w:cs="Garamond"/>
          <w:sz w:val="22"/>
          <w:szCs w:val="22"/>
        </w:rPr>
        <w:t>El acuerdo de conciliación celebrado sobre asuntos agrarios y rurales de competencia de la jurisdicción de lo contencioso administrativo se remitirá al operador judicial competente para su respectiva aprobación.</w:t>
      </w:r>
    </w:p>
    <w:p w14:paraId="32BBF09E"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6F0AA09B"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114. Trámite de aprobación judicial del acuerdo conciliatorio. </w:t>
      </w:r>
      <w:r w:rsidRPr="00CD7B09">
        <w:rPr>
          <w:rFonts w:ascii="Century Gothic" w:eastAsia="Garamond" w:hAnsi="Century Gothic" w:cs="Garamond"/>
          <w:sz w:val="22"/>
          <w:szCs w:val="22"/>
        </w:rPr>
        <w:t>El procedimiento de aprobación judicial de la conciliación se sujetará a las siguientes reglas:</w:t>
      </w:r>
    </w:p>
    <w:p w14:paraId="05C057E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3EF889CA" w14:textId="77777777" w:rsidR="00CB1679" w:rsidRPr="00CD7B09" w:rsidRDefault="00CB1679" w:rsidP="00CB1679">
      <w:pPr>
        <w:widowControl w:val="0"/>
        <w:numPr>
          <w:ilvl w:val="0"/>
          <w:numId w:val="4"/>
        </w:numPr>
        <w:pBdr>
          <w:top w:val="nil"/>
          <w:left w:val="nil"/>
          <w:bottom w:val="nil"/>
          <w:right w:val="nil"/>
          <w:between w:val="nil"/>
        </w:pBdr>
        <w:ind w:right="49"/>
        <w:jc w:val="both"/>
        <w:rPr>
          <w:rFonts w:ascii="Century Gothic" w:hAnsi="Century Gothic"/>
          <w:sz w:val="22"/>
          <w:szCs w:val="22"/>
        </w:rPr>
      </w:pPr>
      <w:r w:rsidRPr="00CD7B09">
        <w:rPr>
          <w:rFonts w:ascii="Century Gothic" w:eastAsia="Garamond" w:hAnsi="Century Gothic" w:cs="Garamond"/>
          <w:sz w:val="22"/>
          <w:szCs w:val="22"/>
        </w:rPr>
        <w:t>El juez examinará el expediente y las pruebas allegadas al trámite conciliatorio. De encontrar el acuerdo conforme a derecho proferirá auto aprobatorio, dentro de los veinte (20) días siguientes a la recepción de la actuación en el despacho.</w:t>
      </w:r>
    </w:p>
    <w:p w14:paraId="5FCADA8E" w14:textId="77777777" w:rsidR="00CB1679" w:rsidRPr="00CD7B09" w:rsidRDefault="00CB1679" w:rsidP="00CB1679">
      <w:pPr>
        <w:widowControl w:val="0"/>
        <w:pBdr>
          <w:top w:val="nil"/>
          <w:left w:val="nil"/>
          <w:bottom w:val="nil"/>
          <w:right w:val="nil"/>
          <w:between w:val="nil"/>
        </w:pBdr>
        <w:ind w:left="253" w:right="49"/>
        <w:jc w:val="both"/>
        <w:rPr>
          <w:rFonts w:ascii="Century Gothic" w:eastAsia="Garamond" w:hAnsi="Century Gothic" w:cs="Garamond"/>
          <w:sz w:val="22"/>
          <w:szCs w:val="22"/>
        </w:rPr>
      </w:pPr>
    </w:p>
    <w:p w14:paraId="042F6111" w14:textId="77777777" w:rsidR="00CB1679" w:rsidRPr="00CD7B09" w:rsidRDefault="00CB1679" w:rsidP="00CB1679">
      <w:pPr>
        <w:widowControl w:val="0"/>
        <w:numPr>
          <w:ilvl w:val="0"/>
          <w:numId w:val="4"/>
        </w:numPr>
        <w:pBdr>
          <w:top w:val="nil"/>
          <w:left w:val="nil"/>
          <w:bottom w:val="nil"/>
          <w:right w:val="nil"/>
          <w:between w:val="nil"/>
        </w:pBdr>
        <w:ind w:right="49"/>
        <w:jc w:val="both"/>
        <w:rPr>
          <w:rFonts w:ascii="Century Gothic" w:hAnsi="Century Gothic"/>
          <w:sz w:val="22"/>
          <w:szCs w:val="22"/>
        </w:rPr>
      </w:pPr>
      <w:r w:rsidRPr="00CD7B09">
        <w:rPr>
          <w:rFonts w:ascii="Century Gothic" w:eastAsia="Garamond" w:hAnsi="Century Gothic" w:cs="Garamond"/>
          <w:sz w:val="22"/>
          <w:szCs w:val="22"/>
        </w:rPr>
        <w:t>El juez podrá requerir a las partes para que subsanen las deficiencias dentro de los diez (10) días siguientes a la notificación o procederá a decretar las pruebas que requiera para dictar el auto.</w:t>
      </w:r>
    </w:p>
    <w:p w14:paraId="28AB76BC" w14:textId="77777777" w:rsidR="00CB1679" w:rsidRPr="00CD7B09" w:rsidRDefault="00CB1679" w:rsidP="00CB1679">
      <w:pPr>
        <w:ind w:right="49"/>
        <w:rPr>
          <w:rFonts w:ascii="Century Gothic" w:eastAsia="Garamond" w:hAnsi="Century Gothic" w:cs="Garamond"/>
          <w:sz w:val="22"/>
          <w:szCs w:val="22"/>
        </w:rPr>
      </w:pPr>
    </w:p>
    <w:p w14:paraId="54F6CE8E" w14:textId="77777777" w:rsidR="00CB1679" w:rsidRPr="00CD7B09" w:rsidRDefault="00CB1679" w:rsidP="00CB1679">
      <w:pPr>
        <w:widowControl w:val="0"/>
        <w:numPr>
          <w:ilvl w:val="0"/>
          <w:numId w:val="4"/>
        </w:numPr>
        <w:pBdr>
          <w:top w:val="nil"/>
          <w:left w:val="nil"/>
          <w:bottom w:val="nil"/>
          <w:right w:val="nil"/>
          <w:between w:val="nil"/>
        </w:pBdr>
        <w:ind w:right="49"/>
        <w:jc w:val="both"/>
        <w:rPr>
          <w:rFonts w:ascii="Century Gothic" w:hAnsi="Century Gothic"/>
          <w:sz w:val="22"/>
          <w:szCs w:val="22"/>
        </w:rPr>
      </w:pPr>
      <w:r w:rsidRPr="00CD7B09">
        <w:rPr>
          <w:rFonts w:ascii="Century Gothic" w:eastAsia="Garamond" w:hAnsi="Century Gothic" w:cs="Garamond"/>
          <w:sz w:val="22"/>
          <w:szCs w:val="22"/>
        </w:rPr>
        <w:t>Si hubiere transcurrido el plazo señalado en el literal anterior sin que se hubieren subsanado las deficiencias, el juez dispondrá el rechazo de la solicitud de aprobación del acuerdo conciliatorio. En el evento en que se subsanen las deficiencias el juez, si lo considera, podrá decretar pruebas, en este caso el término para resolver la solicitud se ampliará por diez (10) días.</w:t>
      </w:r>
    </w:p>
    <w:p w14:paraId="1B5F09A3" w14:textId="77777777" w:rsidR="00CB1679" w:rsidRPr="00CD7B09" w:rsidRDefault="00CB1679" w:rsidP="00CB1679">
      <w:pPr>
        <w:widowControl w:val="0"/>
        <w:pBdr>
          <w:top w:val="nil"/>
          <w:left w:val="nil"/>
          <w:bottom w:val="nil"/>
          <w:right w:val="nil"/>
          <w:between w:val="nil"/>
        </w:pBdr>
        <w:ind w:left="253" w:right="49"/>
        <w:jc w:val="both"/>
        <w:rPr>
          <w:rFonts w:ascii="Century Gothic" w:eastAsia="Garamond" w:hAnsi="Century Gothic" w:cs="Garamond"/>
          <w:sz w:val="22"/>
          <w:szCs w:val="22"/>
        </w:rPr>
      </w:pPr>
    </w:p>
    <w:p w14:paraId="280162D8" w14:textId="77777777" w:rsidR="00CB1679" w:rsidRPr="00CD7B09" w:rsidRDefault="00CB1679" w:rsidP="00CB1679">
      <w:pPr>
        <w:widowControl w:val="0"/>
        <w:pBdr>
          <w:top w:val="nil"/>
          <w:left w:val="nil"/>
          <w:bottom w:val="nil"/>
          <w:right w:val="nil"/>
          <w:between w:val="nil"/>
        </w:pBdr>
        <w:ind w:right="49"/>
        <w:jc w:val="both"/>
        <w:rPr>
          <w:rFonts w:ascii="Century Gothic" w:hAnsi="Century Gothic"/>
          <w:sz w:val="22"/>
          <w:szCs w:val="22"/>
        </w:rPr>
      </w:pPr>
      <w:r w:rsidRPr="00CD7B09">
        <w:rPr>
          <w:rFonts w:ascii="Century Gothic" w:eastAsia="Garamond" w:hAnsi="Century Gothic" w:cs="Garamond"/>
          <w:sz w:val="22"/>
          <w:szCs w:val="22"/>
        </w:rPr>
        <w:t>Cuando se apruebe un acuerdo conciliatorio en el cual se definan derechos reales de propiedad sobre bienes inmuebles ubicados en suelo clasificado como rural, el juez agrario y rural administrativo remitirá copia de éste a la Oficina de Registro de Instrumentos Públicos para que lleve a cabo el registro correspondiente.</w:t>
      </w:r>
    </w:p>
    <w:p w14:paraId="5839CDE3"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3C9C5A00"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115. Registro de los acuerdos de conciliación que no requieren de aprobación judicial. </w:t>
      </w:r>
      <w:r w:rsidRPr="00CD7B09">
        <w:rPr>
          <w:rFonts w:ascii="Century Gothic" w:eastAsia="Garamond" w:hAnsi="Century Gothic" w:cs="Garamond"/>
          <w:sz w:val="22"/>
          <w:szCs w:val="22"/>
        </w:rPr>
        <w:t>Para el registro de los acuerdos de conciliación, las actas originales serán archivadas por los conciliadores, los centros de conciliación, las notarías y las entidades públicas que cuenten con funcionarios habilitados para conciliar en temas agrarios y rurales, de acuerdo con la norma vigente que regula la conciliación y la norma vigente en materia de archivo.</w:t>
      </w:r>
    </w:p>
    <w:p w14:paraId="5535985A"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0422932F"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116. Amigable composición. </w:t>
      </w:r>
      <w:r w:rsidRPr="00CD7B09">
        <w:rPr>
          <w:rFonts w:ascii="Century Gothic" w:eastAsia="Garamond" w:hAnsi="Century Gothic" w:cs="Garamond"/>
          <w:sz w:val="22"/>
          <w:szCs w:val="22"/>
        </w:rPr>
        <w:t>En las controversias de índole agraria y rural susceptibles de conciliación procederá la amigable composición como mecanismo alternativo de solución de conflictos. La decisión del amigable componedor requerirá de aprobación judicial en las mismas condiciones que se exigen para la conciliación.</w:t>
      </w:r>
    </w:p>
    <w:p w14:paraId="3D75276C"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527640A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117. Otros métodos de resolución de conflictos. </w:t>
      </w:r>
      <w:r w:rsidRPr="00CD7B09">
        <w:rPr>
          <w:rFonts w:ascii="Century Gothic" w:eastAsia="Garamond" w:hAnsi="Century Gothic" w:cs="Garamond"/>
          <w:sz w:val="22"/>
          <w:szCs w:val="22"/>
        </w:rPr>
        <w:t>En las controversias de índole agraria y rural susceptibles de conciliación, las partes podrán  explorar diferentes mecanismos alternativos de naturaleza autocompositiva, tales como la mediación, la negociación o la facilitación a través de organizaciones comunales, campesinas, rurales, veredales o de mujeres, al igual que métodos tradicionales de solución de conflictos, cuya decisión definitiva deberá ser aprobada judicialmente, en los términos establecidos para la conciliación en la presente ley, las Ley 446 de 1998 y la Ley 1563 de 2012.</w:t>
      </w:r>
    </w:p>
    <w:p w14:paraId="1D9B78D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7077F46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Para estos casos, las autoridades del nivel nacional y territorial deberán promover espacios de participación de las mujeres y de las organizaciones de mujeres en la resolución de conflictos sobre la tenencia y uso de la tierra</w:t>
      </w:r>
    </w:p>
    <w:p w14:paraId="44E8BA0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2F35CD3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Parágrafo 1º. </w:t>
      </w:r>
      <w:r w:rsidRPr="00CD7B09">
        <w:rPr>
          <w:rFonts w:ascii="Century Gothic" w:eastAsia="Garamond" w:hAnsi="Century Gothic" w:cs="Garamond"/>
          <w:sz w:val="22"/>
          <w:szCs w:val="22"/>
        </w:rPr>
        <w:t xml:space="preserve">El Gobierno Nacional promoverá y apoyará los mecanismos comunitarios y tradicionales de solución de conflictos, al igual que la participación de las mujeres y de las organizaciones de las mujeres en la resolución de conflictos sobre la propiedad, tenencia y uso de la tierra. </w:t>
      </w:r>
    </w:p>
    <w:p w14:paraId="3E0E06E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3B2AA80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Parágrafo 2º. </w:t>
      </w:r>
      <w:r w:rsidRPr="00CD7B09">
        <w:rPr>
          <w:rFonts w:ascii="Century Gothic" w:eastAsia="Garamond" w:hAnsi="Century Gothic" w:cs="Garamond"/>
          <w:sz w:val="22"/>
          <w:szCs w:val="22"/>
        </w:rPr>
        <w:t>El Gobierno Nacional promoverá y apoyará los mecanismos alternativos de solución de conflictos propios de las comunidades étnicas del país, de conformidad con sus costumbres y cultura de arraigo ancestral.</w:t>
      </w:r>
    </w:p>
    <w:p w14:paraId="6E7DCB0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6AE35A6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r w:rsidRPr="00CD7B09">
        <w:rPr>
          <w:rFonts w:ascii="Century Gothic" w:eastAsia="Garamond" w:hAnsi="Century Gothic" w:cs="Garamond"/>
          <w:b/>
          <w:sz w:val="22"/>
          <w:szCs w:val="22"/>
        </w:rPr>
        <w:t>Parágrafo 3º.</w:t>
      </w:r>
      <w:r w:rsidRPr="00CD7B09">
        <w:rPr>
          <w:rFonts w:ascii="Century Gothic" w:eastAsia="Garamond" w:hAnsi="Century Gothic" w:cs="Garamond"/>
          <w:sz w:val="22"/>
          <w:szCs w:val="22"/>
        </w:rPr>
        <w:t xml:space="preserve"> Créase un fondo cuenta sin personería jurídica adscrito al Ministerio del Justicia y del Derecho a fin de financiar los mecanismos de resolución de conflictos asociados a los asuntos regulados en esta ley, a fin de capturar los recursos de cooperación internacional, traslados presupuestales, donaciones u otros ingresos relacionados con la promoción de estos mecanismos en áreas rurales.</w:t>
      </w:r>
    </w:p>
    <w:p w14:paraId="2F1039E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
          <w:sz w:val="22"/>
          <w:szCs w:val="22"/>
        </w:rPr>
      </w:pPr>
    </w:p>
    <w:p w14:paraId="1C89F89C"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 xml:space="preserve">Artículo 118. Remisión normativa. </w:t>
      </w:r>
      <w:r w:rsidRPr="00CD7B09">
        <w:rPr>
          <w:rFonts w:ascii="Century Gothic" w:eastAsia="Garamond" w:hAnsi="Century Gothic" w:cs="Helvetica"/>
          <w:sz w:val="22"/>
          <w:szCs w:val="22"/>
        </w:rPr>
        <w:t>En los asuntos que no se encuentren regulados en el presente título, se aplicarán lo dispuesto en las leyes 446 de 1998, 1563 de 2012 y demás normas vigentes en materia de Métodos Alternativos de Solución de Conflictos.</w:t>
      </w:r>
    </w:p>
    <w:p w14:paraId="74133A2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20AB074B" w14:textId="77777777" w:rsidR="00CB1679" w:rsidRPr="00CD7B09" w:rsidRDefault="00CB1679" w:rsidP="00CB1679">
      <w:pPr>
        <w:widowControl w:val="0"/>
        <w:pBdr>
          <w:top w:val="nil"/>
          <w:left w:val="nil"/>
          <w:bottom w:val="nil"/>
          <w:right w:val="nil"/>
          <w:between w:val="nil"/>
        </w:pBdr>
        <w:tabs>
          <w:tab w:val="left" w:pos="1906"/>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Artículo 119.</w:t>
      </w:r>
      <w:r w:rsidRPr="00CD7B09">
        <w:rPr>
          <w:rFonts w:ascii="Century Gothic" w:eastAsia="Garamond" w:hAnsi="Century Gothic" w:cs="Garamond"/>
          <w:sz w:val="22"/>
          <w:szCs w:val="22"/>
        </w:rPr>
        <w:t xml:space="preserve"> En relación con los asuntos objeto de esta ley, el Consejo Superior de la Judicatura en coordinación con el Ministerio de Justicia y del Derecho, adelantarán las acciones necesarias para articular el Sistema de Información de la Conciliación, el Arbitraje y la Amigable composición del Ministerio de Justicia y del Derecho desarrollo (SICAAC) con los sistemas de información que administra el  Consejo Superior de la Judicatura, con el propósito de registrar y llevar estadísticas de los casos, incluyendo entre otras variables: partes interesadas, tipo y asunto a conciliar, fechas y tiempos, estado de avance, localización geográfica, entidad que lleva la conciliación y decisión del caso y aquellos casos que no lograron hacer tránsito a cosa juzgada y que debieron o deben direccionarse a las respectivas instancias administrativas y/o judiciales.</w:t>
      </w:r>
    </w:p>
    <w:p w14:paraId="5C439E5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b/>
          <w:sz w:val="22"/>
          <w:szCs w:val="22"/>
        </w:rPr>
      </w:pPr>
    </w:p>
    <w:p w14:paraId="291E3E22"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TÍTULO V</w:t>
      </w:r>
    </w:p>
    <w:p w14:paraId="08425F9E"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r w:rsidRPr="00CD7B09">
        <w:rPr>
          <w:rFonts w:ascii="Century Gothic" w:eastAsia="Garamond" w:hAnsi="Century Gothic" w:cs="Garamond"/>
          <w:b/>
          <w:sz w:val="22"/>
          <w:szCs w:val="22"/>
        </w:rPr>
        <w:t xml:space="preserve">FORMACIÓN Y PROMOCIÓN DEL DERECHO AGRARIO Y RURAL </w:t>
      </w:r>
    </w:p>
    <w:p w14:paraId="755AEBE3"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Century Gothic" w:eastAsia="Garamond" w:hAnsi="Century Gothic" w:cs="Garamond"/>
          <w:b/>
          <w:sz w:val="22"/>
          <w:szCs w:val="22"/>
        </w:rPr>
      </w:pPr>
    </w:p>
    <w:p w14:paraId="3C186C36"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 xml:space="preserve">Artículo 120. Formación en derecho agrario y rural. </w:t>
      </w:r>
      <w:r w:rsidRPr="00CD7B09">
        <w:rPr>
          <w:rFonts w:ascii="Century Gothic" w:eastAsia="Garamond" w:hAnsi="Century Gothic" w:cs="Helvetica"/>
          <w:sz w:val="22"/>
          <w:szCs w:val="22"/>
        </w:rPr>
        <w:t>Las instituciones universitarias, a través de los programas de derecho y en el marco de la autonomía universitaria, implementarán las medidas necesarias para incluir en sus currículos académicos la formación en estudios en derecho agrario y rural.</w:t>
      </w:r>
    </w:p>
    <w:p w14:paraId="0FFC1A2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b/>
          <w:sz w:val="22"/>
          <w:szCs w:val="22"/>
        </w:rPr>
      </w:pPr>
    </w:p>
    <w:p w14:paraId="5583148A" w14:textId="408EB5D0"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Artículo 121. Judicatura en despachos judiciales agrarios y rurales.</w:t>
      </w:r>
      <w:r w:rsidRPr="00CD7B09">
        <w:rPr>
          <w:rFonts w:ascii="Century Gothic" w:eastAsia="Garamond" w:hAnsi="Century Gothic" w:cs="Garamond"/>
          <w:sz w:val="22"/>
          <w:szCs w:val="22"/>
        </w:rPr>
        <w:t xml:space="preserve"> Para optar el título de abogado el estudiante podrá acreditar haber prestado servicio de judicatura en cualquier despacho judicial agrario y rural, por el tiempo y en las condiciones que señale para el efecto el Consejo Superior de la Judicatura. </w:t>
      </w:r>
    </w:p>
    <w:p w14:paraId="20B7E6F3"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4A23B292" w14:textId="77777777" w:rsidR="00CB1679" w:rsidRPr="00CD7B09" w:rsidRDefault="00CB1679" w:rsidP="00CB1679">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Parágrafo.</w:t>
      </w:r>
      <w:r w:rsidRPr="00CD7B09">
        <w:rPr>
          <w:rFonts w:ascii="Century Gothic" w:eastAsia="Garamond" w:hAnsi="Century Gothic" w:cs="Garamond"/>
          <w:sz w:val="22"/>
          <w:szCs w:val="22"/>
        </w:rPr>
        <w:t xml:space="preserve"> Con el propósito de incentivar las prácticas de judicatura en despachos judiciales agrarios y rurales, el Consejo Superior de la Judicatura estará facultado para establecer condiciones de menor tiempo de judicatura o remuneración para los judicantes que opten por dichas prácticas en zonas rurales del territorio nacional.</w:t>
      </w:r>
    </w:p>
    <w:p w14:paraId="56867104" w14:textId="77777777" w:rsidR="00CB1679" w:rsidRPr="00CD7B09" w:rsidRDefault="00CB1679" w:rsidP="00CB1679">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Century Gothic" w:eastAsia="Garamond" w:hAnsi="Century Gothic" w:cs="Garamond"/>
          <w:sz w:val="22"/>
          <w:szCs w:val="22"/>
        </w:rPr>
      </w:pPr>
    </w:p>
    <w:p w14:paraId="7EAA887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122. Promoción de los derechos de las mujeres rurales. </w:t>
      </w:r>
      <w:r w:rsidRPr="00CD7B09">
        <w:rPr>
          <w:rFonts w:ascii="Century Gothic" w:eastAsia="Garamond" w:hAnsi="Century Gothic" w:cs="Garamond"/>
          <w:sz w:val="22"/>
          <w:szCs w:val="22"/>
        </w:rPr>
        <w:t>Las autoridades competentes territoriales y del nivel nacional, proveerán mecanismos para brindar asesoría, representación y formación especial a las mujeres rurales, para que puedan superar las barreras que les dificultan la asignación, reconocimiento y protección de sus derechos sobre la tierra.</w:t>
      </w:r>
    </w:p>
    <w:p w14:paraId="6F41E0D2"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Century Gothic" w:eastAsia="Garamond" w:hAnsi="Century Gothic" w:cs="Garamond"/>
          <w:sz w:val="22"/>
          <w:szCs w:val="22"/>
        </w:rPr>
      </w:pPr>
    </w:p>
    <w:p w14:paraId="4D5ABCE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123. Excepción a control de gastos. </w:t>
      </w:r>
      <w:r w:rsidRPr="00CD7B09">
        <w:rPr>
          <w:rFonts w:ascii="Century Gothic" w:eastAsia="Garamond" w:hAnsi="Century Gothic" w:cs="Garamond"/>
          <w:sz w:val="22"/>
          <w:szCs w:val="22"/>
        </w:rPr>
        <w:t>Se exceptúa al Consejo Superior de la Judicatura durante la implementación de lo previsto en esta ley, de la aplicación de las restricciones previstas en la Ley 617 de 2000 y el artículo 51 de la Ley 1955 de 2019, en lo requerido para la puesta en funcionamiento de la Especialidad Agraria y Rural de la Jurisdicción Ordinaria y la Especialidad Agraria y Rural de la Jurisdicción de lo Contencioso Administrativo.</w:t>
      </w:r>
    </w:p>
    <w:p w14:paraId="2D0E5B1D"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u w:val="single"/>
        </w:rPr>
      </w:pPr>
    </w:p>
    <w:p w14:paraId="1ACA35E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Artículo</w:t>
      </w:r>
      <w:r w:rsidRPr="00CD7B09">
        <w:rPr>
          <w:rFonts w:ascii="Century Gothic" w:eastAsia="Garamond" w:hAnsi="Century Gothic" w:cs="Garamond"/>
          <w:sz w:val="22"/>
          <w:szCs w:val="22"/>
        </w:rPr>
        <w:t xml:space="preserve"> </w:t>
      </w:r>
      <w:r w:rsidRPr="00CD7B09">
        <w:rPr>
          <w:rFonts w:ascii="Century Gothic" w:eastAsia="Garamond" w:hAnsi="Century Gothic" w:cs="Garamond"/>
          <w:b/>
          <w:sz w:val="22"/>
          <w:szCs w:val="22"/>
        </w:rPr>
        <w:t>124.  Proceso de implementación.</w:t>
      </w:r>
      <w:r w:rsidRPr="00CD7B09">
        <w:rPr>
          <w:rFonts w:ascii="Century Gothic" w:eastAsia="Garamond" w:hAnsi="Century Gothic" w:cs="Garamond"/>
          <w:sz w:val="22"/>
          <w:szCs w:val="22"/>
        </w:rPr>
        <w:t xml:space="preserve"> La Especialidad Agraria y Rural de la Jurisdicción Ordinaria y la Especialidad Agraria y Rural de la Jurisdicción Contenciosa Administrativa entrarán a funcionar en un término no superior a los treinta (30) meses siguientes a la promulgación de esta ley. Su implementación será progresiva y, mientras entra en funcionamiento en todo el territorio nacional, se podrá adoptar un régimen de transición por parte del Consejo Superior de la Judicatura conforme a lo establecido en la presente Ley.</w:t>
      </w:r>
    </w:p>
    <w:p w14:paraId="5A830555"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6F7077F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En el proceso de implementación de la especialidad agraria y rural se priorizarán los municipios definidos en el Decreto Ley 893 de 2017, “por el cual se crean los programas de desarrollo con enfoque territorial -PDET-“, los municipios de mayor conflictividad rural y agraria en el país, así como la población y los territorios más necesitados y vulnerables, y las comunidades más afectadas por la miseria, el abandono y el conflicto, con especial atención en los derechos de las víctimas del conflicto, de los niños y niñas, de las mujeres, y de las personas adultas mayores. Igualmente, con el propósito de garantizar la atención judicial a los ciudadanos rurales en el territorio nacional, los despachos judiciales agrarios y rurales administrativos, así como los jueces agrarios y rurales ordinarios podrán atender la competencia funcional de ambas especialidades.</w:t>
      </w:r>
    </w:p>
    <w:p w14:paraId="48B79374"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45A096B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Durante este periodo el Gobierno Nacional adelantará las gestiones presupuestales y demás medidas que sean necesarias para la creación de nuevos despachos judiciales, puesta en marcha e implementación de la Especialidad Agraria y Rural en la Jurisdicción Ordinaria y de la Especialidad Agraria y Rural Administrativa en la Jurisdicción Contenciosa Administrativa.</w:t>
      </w:r>
    </w:p>
    <w:p w14:paraId="3CC1DE11"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Para el efecto se autoriza al Gobierno Nacional para que durante los próximos treinta (30) meses incluya en el presupuesto de rentas y gastos una partida de acuerdo con las disponibilidades presupuestales, el marco fiscal de mediano plazo y el marco de gastos, estableciendo según el caso recursos adicionales susceptibles de asignación a la Rama Judicial, a efectos de implementar la Especialidad Agraria y Rural de la Jurisdicción Ordinaria y la Especialidad Agraria y Rural de la Jurisdicción Contenciosa Administrativa en todo el territorio nacional.</w:t>
      </w:r>
    </w:p>
    <w:p w14:paraId="7470FCE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2DA22140"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A su vez, en este término el Consejo Superior de la Judicatura deberá elaborar un Plan para la puesta en marcha e implementación de la Especialidad Agraria y Rural de la Jurisdicción Ordinaria y la Especialidad Agraria y Rural de la Jurisdicción de lo Contencioso Administrativo, incluido el análisis financiero y de demanda, instrumento que deberá ser elaborado en coordinación con las Altas Cortes de dichas jurisdicciones.</w:t>
      </w:r>
    </w:p>
    <w:p w14:paraId="3FE2621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6ADA4EB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Adicionalmente, para la puesta en marcha de esta especialidad agraria el Consejo Superior de la Judicatura, el Ministerio de Justicia y del Derecho y el Ministerio de Agricultura y Desarrollo Rural diseñarán una estrategia pedagógica para dar a conocer esta nueva especialidad en los territorios y la posibilidad de acceder a la misma. Esta estrategia contará con un enfoque diferencial, en particular teniendo en cuenta las disposiciones del artículo 126 de la presente ley, sobre mujeres rurales. Para la implementación de la estrategia las entidades responsables deberán coordinar con las entidades territoriales y el Ministerio Público.</w:t>
      </w:r>
    </w:p>
    <w:p w14:paraId="540AC96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3457B54F" w14:textId="1EBB05D8"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El Consejo Superior de la Judicatura deberá implementar un programa de formación en derecho agrario y rural dirigido especialmente a los jueces administrativos, a los jueces civiles municipales, a los jueces promiscuos y a los Magistrados correspondientes de ambas jurisdicciones, en virtud de las nuevas competencias previstas en esta ley. Para el efecto, a través de la Escuela Judicial Rodrigo Lara Bonilla, deberá diseñar e implementar un curso de capacitación en la normatividad agraria y ambiental, y en el procedimiento judicial agrario y rural regulado en esta ley. Su diseño deberá efectuarse dentro de los seis (6) meses siguientes a la expedición de esta Ley.</w:t>
      </w:r>
    </w:p>
    <w:p w14:paraId="07DBF7D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23D35D29"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Artículo 125. Provisión de cargos</w:t>
      </w:r>
      <w:r w:rsidRPr="00CD7B09">
        <w:rPr>
          <w:rFonts w:ascii="Century Gothic" w:eastAsia="Garamond" w:hAnsi="Century Gothic" w:cs="Helvetica"/>
          <w:sz w:val="22"/>
          <w:szCs w:val="22"/>
        </w:rPr>
        <w:t>. Para la provisión de los cargos de juez de los Juzgados Agrarios y Rurales y de magistrado de las Salas Agrarias y Rurales de los Tribunales Superiores de Distrito Judicial, el Consejo Superior de la Judicatura dispondrá de la realización de un concurso regido bajo los principios de transparencia y mérito, conforme a las reglas señaladas en esta ley e incorporará como criterio de valoración el conocimiento de la normativa en materia agraria, ambiental y en las normas que desarrollan el proceso judicial agrario y rural.</w:t>
      </w:r>
    </w:p>
    <w:p w14:paraId="7EA9AFF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4ED111F7"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El Consejo Superior de la Judicatura deberá convocar al concurso de méritos de que trata el parágrafo anterior dentro de los seis (6) meses siguientes a la entrada en vigor de la presente ley, fijando un cronograma que permita culminar el concurso y proveer los cargos por el sistema de carrera en un plazo no mayor a 3 años. No obstante, lo anterior, los cargos judiciales actualmente sometidos a concurso de méritos, así como los aspirantes a jueces y magistrados que se hallen registrados en la lista de elegibles actual para despachos civiles deberán destinarse prioritariamente a satisfacer la oferta judicial de jueces y magistrados rurales y agrarios, para lo cual, los funcionarios deberán ser capacitados en materia de derecho agrario, ambiental y demás normas pertinentes, previo a la posesión en su cargo.</w:t>
      </w:r>
    </w:p>
    <w:p w14:paraId="45AB0C38"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4E0091DD"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Cs/>
          <w:sz w:val="22"/>
          <w:szCs w:val="22"/>
        </w:rPr>
      </w:pPr>
      <w:r w:rsidRPr="00CD7B09">
        <w:rPr>
          <w:rFonts w:ascii="Century Gothic" w:eastAsia="Garamond" w:hAnsi="Century Gothic" w:cs="Helvetica"/>
          <w:sz w:val="22"/>
          <w:szCs w:val="22"/>
        </w:rPr>
        <w:t xml:space="preserve">Para efectos de lograr la cobertura de las zonas priorizadas para la implementación del Acuerdo Final de Paz, la provisión de los cargos de juez y magistrado en estos despachos podrá realizarse en provisionalidad, hasta tanto se surta el respectivo concurso y se provea el cargo en propiedad, de acuerdo con las listas respectivas </w:t>
      </w:r>
      <w:r w:rsidRPr="00CD7B09">
        <w:rPr>
          <w:rFonts w:ascii="Century Gothic" w:eastAsia="Garamond" w:hAnsi="Century Gothic" w:cs="Helvetica"/>
          <w:bCs/>
          <w:sz w:val="22"/>
          <w:szCs w:val="22"/>
        </w:rPr>
        <w:t>y atendiendo a principios de transparencia y mérito</w:t>
      </w:r>
      <w:r w:rsidRPr="00CD7B09">
        <w:rPr>
          <w:rFonts w:ascii="Century Gothic" w:eastAsia="Garamond" w:hAnsi="Century Gothic" w:cs="Helvetica"/>
          <w:sz w:val="22"/>
          <w:szCs w:val="22"/>
        </w:rPr>
        <w:t>. No obstante, para posesionarse y ejercer los cargos de juez y magistrado deberán tomar y aprobar, con dedicación exclusiva, el curso de capacitación en la normatividad agraria y ambiental, y en el procedimiento judicial agrario y rural regulado en esta ley, de acuerdo con el plan que para tal fin diseñe e implemente la Escuela Judicial Rodrigo Lara Bonilla, cuyo diseño deberá efectuarse dentro de los seis (6) meses siguientes a la expedición de esta Ley.</w:t>
      </w:r>
      <w:r w:rsidRPr="00CD7B09">
        <w:rPr>
          <w:rFonts w:ascii="Century Gothic" w:eastAsia="Garamond" w:hAnsi="Century Gothic" w:cs="Helvetica"/>
          <w:bCs/>
          <w:sz w:val="22"/>
          <w:szCs w:val="22"/>
        </w:rPr>
        <w:t xml:space="preserve"> En todo caso, estos cargos en provisionalidad no podrán exceder de tres (3) años contados a partir de la respectiva posesión. </w:t>
      </w:r>
    </w:p>
    <w:p w14:paraId="06E8BD1B"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Cs/>
          <w:sz w:val="22"/>
          <w:szCs w:val="22"/>
        </w:rPr>
      </w:pPr>
    </w:p>
    <w:p w14:paraId="29AB64E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b/>
          <w:sz w:val="22"/>
          <w:szCs w:val="22"/>
        </w:rPr>
      </w:pPr>
      <w:r w:rsidRPr="00CD7B09">
        <w:rPr>
          <w:rFonts w:ascii="Century Gothic" w:eastAsia="Garamond" w:hAnsi="Century Gothic" w:cs="Helvetica"/>
          <w:b/>
          <w:sz w:val="22"/>
          <w:szCs w:val="22"/>
        </w:rPr>
        <w:t xml:space="preserve">Parágrafo. </w:t>
      </w:r>
      <w:r w:rsidRPr="00CD7B09">
        <w:rPr>
          <w:rFonts w:ascii="Century Gothic" w:eastAsia="Garamond" w:hAnsi="Century Gothic" w:cs="Helvetica"/>
          <w:sz w:val="22"/>
          <w:szCs w:val="22"/>
        </w:rPr>
        <w:t>Para ser nombrado en el departamento de San Andrés, Providencia y Santa Catalina, se deberá acreditar la condición de residente permanente o poseer la tarjeta de residencia temporal por actividad laborales.</w:t>
      </w:r>
      <w:r w:rsidRPr="00CD7B09">
        <w:rPr>
          <w:rFonts w:ascii="Century Gothic" w:eastAsia="Garamond" w:hAnsi="Century Gothic" w:cs="Helvetica"/>
          <w:b/>
          <w:sz w:val="22"/>
          <w:szCs w:val="22"/>
        </w:rPr>
        <w:t xml:space="preserve">  </w:t>
      </w:r>
    </w:p>
    <w:p w14:paraId="2F4B3003"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p>
    <w:p w14:paraId="727DB61C"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 xml:space="preserve">Artículo 126. </w:t>
      </w:r>
      <w:r w:rsidRPr="00CD7B09">
        <w:rPr>
          <w:rFonts w:ascii="Century Gothic" w:eastAsia="Garamond" w:hAnsi="Century Gothic" w:cs="Garamond"/>
          <w:sz w:val="22"/>
          <w:szCs w:val="22"/>
        </w:rPr>
        <w:t>Se exhorta al Gobierno Nacional a presentar, dentro de los seis (6) meses siguientes a la aprobación de la presente ley, un proyecto de ley de reforma de la ley estatutaria de la administración de justicia que se ocupe de la solución de las controversias ambientales que se presentan en el territorio nacional, a través de la creación de una especialidad agraria y ambiental en la jurisdicción ordinaria y en la jurisdicción contenciosa administrativa.</w:t>
      </w:r>
    </w:p>
    <w:p w14:paraId="5BC033E6"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p>
    <w:p w14:paraId="7793F5C3"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r w:rsidRPr="00CD7B09">
        <w:rPr>
          <w:rFonts w:ascii="Century Gothic" w:eastAsia="Garamond" w:hAnsi="Century Gothic" w:cs="Garamond"/>
          <w:b/>
          <w:sz w:val="22"/>
          <w:szCs w:val="22"/>
        </w:rPr>
        <w:t>Artículo 127. Modalidad de servicio móvil de atención al ciudadano con enfoque en lo rural y agrario.</w:t>
      </w:r>
      <w:r w:rsidRPr="00CD7B09">
        <w:rPr>
          <w:rFonts w:ascii="Century Gothic" w:eastAsia="Garamond" w:hAnsi="Century Gothic" w:cs="Garamond"/>
          <w:sz w:val="22"/>
          <w:szCs w:val="22"/>
        </w:rPr>
        <w:t xml:space="preserve"> El Ministerio de Justicia y del Derecho en coordinación con las autoridades nacionales y locales competentes en la materia desarrollarán por lo menos cada seis (6) meses, una modalidad de servicio móvil de atención al ciudadano con enfoque en lo rural y</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agrario, orientada a facilitar información sobre derechos de propiedad, posesión,</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ocupación, usufructo, servidumbre, uso y tenencia de bienes inmuebles ubicados en suelo</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rural, con el fin de facilitar el acceso a los servicios y trámites a que hace referencia la</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presente ley. Asimismo, en esta modalidad se podrá promover y desarrollar mecanismos</w:t>
      </w:r>
      <w:r w:rsidRPr="00CD7B09">
        <w:rPr>
          <w:rFonts w:ascii="Century Gothic" w:eastAsia="Garamond" w:hAnsi="Century Gothic" w:cs="Garamond"/>
          <w:b/>
          <w:sz w:val="22"/>
          <w:szCs w:val="22"/>
        </w:rPr>
        <w:t xml:space="preserve"> </w:t>
      </w:r>
      <w:r w:rsidRPr="00CD7B09">
        <w:rPr>
          <w:rFonts w:ascii="Century Gothic" w:eastAsia="Garamond" w:hAnsi="Century Gothic" w:cs="Garamond"/>
          <w:sz w:val="22"/>
          <w:szCs w:val="22"/>
        </w:rPr>
        <w:t>alternativos de solución de conflictos.</w:t>
      </w:r>
    </w:p>
    <w:p w14:paraId="024839AC"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sz w:val="22"/>
          <w:szCs w:val="22"/>
        </w:rPr>
      </w:pPr>
    </w:p>
    <w:p w14:paraId="27D92A77" w14:textId="77777777" w:rsidR="00CB1679" w:rsidRPr="00CD7B09" w:rsidRDefault="00CB1679" w:rsidP="00CB1679">
      <w:pPr>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Artículo 128. Régimen de transición y vigencia</w:t>
      </w:r>
      <w:r w:rsidRPr="00CD7B09">
        <w:rPr>
          <w:rFonts w:ascii="Century Gothic" w:eastAsia="Garamond" w:hAnsi="Century Gothic" w:cs="Garamond"/>
          <w:sz w:val="22"/>
          <w:szCs w:val="22"/>
        </w:rPr>
        <w:t>. Esta ley comenzará a regir seis (6) meses después de su promulgación y solo se aplicará a los procesos cuyas demandas se instauren con posterioridad a su entrada en vigor.</w:t>
      </w:r>
    </w:p>
    <w:p w14:paraId="513EECCD" w14:textId="77777777" w:rsidR="00CB1679" w:rsidRPr="00CD7B09" w:rsidRDefault="00CB1679" w:rsidP="00CB1679">
      <w:pPr>
        <w:ind w:right="49"/>
        <w:jc w:val="both"/>
        <w:rPr>
          <w:rFonts w:ascii="Century Gothic" w:eastAsia="Garamond" w:hAnsi="Century Gothic" w:cs="Garamond"/>
          <w:sz w:val="22"/>
          <w:szCs w:val="22"/>
        </w:rPr>
      </w:pPr>
    </w:p>
    <w:p w14:paraId="760F4F95" w14:textId="77777777" w:rsidR="00CB1679" w:rsidRPr="00CD7B09" w:rsidRDefault="00CB1679" w:rsidP="00CB1679">
      <w:pP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demandas y procesos en curso a la vigencia de la presente ley seguirán rigiéndose y culminarán de conformidad con el régimen jurídico anterior.</w:t>
      </w:r>
    </w:p>
    <w:p w14:paraId="446D0289" w14:textId="77777777" w:rsidR="00CB1679" w:rsidRPr="00CD7B09" w:rsidRDefault="00CB1679" w:rsidP="00CB1679">
      <w:pP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 xml:space="preserve">Si a la entrada en vigencia de esta ley, no hubieren empezado a funcionar los jueces agrarios y rurales de ambas especialidades, serán competentes para conocer las demandas sobre estos asuntos, conforme al régimen jurídico de competencias anterior, los jueces promiscuos, los jueces municipales, los jueces civiles del circuito, los jueces administrativos, las Salas Civiles de los Tribunales Superiores del Distrito, los Tribunales Administrativos, la Sala de Casación Civil de la Corte Suprema de Justicia y la Sección Primera del Consejo de Estado. </w:t>
      </w:r>
    </w:p>
    <w:p w14:paraId="250721E8" w14:textId="77777777" w:rsidR="00CB1679" w:rsidRPr="00CD7B09" w:rsidRDefault="00CB1679" w:rsidP="00CB1679">
      <w:pP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Las anteriores reglas de competencia se mantendrán hasta la decisión judicial que cierre cada proceso; por lo tanto, los asuntos iniciados con anterioridad a su creación, no se trasladarán a los jueces y magistrados rurales y agrarios.</w:t>
      </w:r>
    </w:p>
    <w:p w14:paraId="1DAC767C" w14:textId="77777777" w:rsidR="00CB1679" w:rsidRPr="00CD7B09" w:rsidRDefault="00CB1679" w:rsidP="00CB1679">
      <w:pPr>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Parágrafo 1º.</w:t>
      </w:r>
      <w:r w:rsidRPr="00CD7B09">
        <w:rPr>
          <w:rFonts w:ascii="Century Gothic" w:eastAsia="Garamond" w:hAnsi="Century Gothic" w:cs="Garamond"/>
          <w:sz w:val="22"/>
          <w:szCs w:val="22"/>
        </w:rPr>
        <w:t xml:space="preserve"> Los siguientes procesos serán enviados a la Sección Primera de la Sala de lo Contencioso Administrativo del Consejo de Estado, en el estado en que se encuentren, incluso si hubieran entrado al despacho para fallo. Estos procesos se resolverán de acuerdo con las normas que los regulaban con anterioridad a la vigencia de la presente ley:  </w:t>
      </w:r>
    </w:p>
    <w:p w14:paraId="7C4A252C" w14:textId="77777777" w:rsidR="00CB1679" w:rsidRPr="00CD7B09" w:rsidRDefault="00CB1679" w:rsidP="00CB1679">
      <w:pPr>
        <w:ind w:right="49"/>
        <w:jc w:val="both"/>
        <w:rPr>
          <w:rFonts w:ascii="Century Gothic" w:eastAsia="Garamond" w:hAnsi="Century Gothic" w:cs="Garamond"/>
          <w:sz w:val="22"/>
          <w:szCs w:val="22"/>
        </w:rPr>
      </w:pPr>
    </w:p>
    <w:p w14:paraId="4380F6AE" w14:textId="77777777" w:rsidR="00CB1679" w:rsidRPr="00CD7B09" w:rsidRDefault="00CB1679" w:rsidP="00CB1679">
      <w:pP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1.</w:t>
      </w:r>
      <w:r w:rsidRPr="00CD7B09">
        <w:rPr>
          <w:rFonts w:ascii="Century Gothic" w:eastAsia="Garamond" w:hAnsi="Century Gothic" w:cs="Garamond"/>
          <w:sz w:val="22"/>
          <w:szCs w:val="22"/>
        </w:rPr>
        <w:tab/>
        <w:t>Nulidad con restablecimiento, contra los actos administrativos expedidos por el Instituto Colombiano de Desarrollo Rural, Incoder, o la entidad que haga sus veces, que inicien las diligencias administrativas de extinción del dominio; clarificación de la propiedad, deslinde y recuperación de baldíos.</w:t>
      </w:r>
    </w:p>
    <w:p w14:paraId="4584480E" w14:textId="77777777" w:rsidR="00CB1679" w:rsidRPr="00CD7B09" w:rsidRDefault="00CB1679" w:rsidP="00CB1679">
      <w:pPr>
        <w:ind w:right="49"/>
        <w:jc w:val="both"/>
        <w:rPr>
          <w:rFonts w:ascii="Century Gothic" w:eastAsia="Garamond" w:hAnsi="Century Gothic" w:cs="Garamond"/>
          <w:sz w:val="22"/>
          <w:szCs w:val="22"/>
        </w:rPr>
      </w:pPr>
    </w:p>
    <w:p w14:paraId="7ECD0890" w14:textId="77777777" w:rsidR="00CB1679" w:rsidRPr="00CD7B09" w:rsidRDefault="00CB1679" w:rsidP="00CB1679">
      <w:pP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2.</w:t>
      </w:r>
      <w:r w:rsidRPr="00CD7B09">
        <w:rPr>
          <w:rFonts w:ascii="Century Gothic" w:eastAsia="Garamond" w:hAnsi="Century Gothic" w:cs="Garamond"/>
          <w:sz w:val="22"/>
          <w:szCs w:val="22"/>
        </w:rPr>
        <w:tab/>
        <w:t>De la revisión contra los actos de extinción del dominio agrario, o contra las resoluciones que decidan de fondo los procedimientos sobre clarificación, deslinde y recuperación de baldíos.</w:t>
      </w:r>
    </w:p>
    <w:p w14:paraId="1ACE8775" w14:textId="77777777" w:rsidR="00CB1679" w:rsidRPr="00CD7B09" w:rsidRDefault="00CB1679" w:rsidP="00CB1679">
      <w:pPr>
        <w:ind w:right="49"/>
        <w:jc w:val="both"/>
        <w:rPr>
          <w:rFonts w:ascii="Century Gothic" w:eastAsia="Garamond" w:hAnsi="Century Gothic" w:cs="Garamond"/>
          <w:sz w:val="22"/>
          <w:szCs w:val="22"/>
        </w:rPr>
      </w:pPr>
      <w:r w:rsidRPr="00CD7B09">
        <w:rPr>
          <w:rFonts w:ascii="Century Gothic" w:eastAsia="Garamond" w:hAnsi="Century Gothic" w:cs="Garamond"/>
          <w:sz w:val="22"/>
          <w:szCs w:val="22"/>
        </w:rPr>
        <w:t>3.</w:t>
      </w:r>
      <w:r w:rsidRPr="00CD7B09">
        <w:rPr>
          <w:rFonts w:ascii="Century Gothic" w:eastAsia="Garamond" w:hAnsi="Century Gothic" w:cs="Garamond"/>
          <w:sz w:val="22"/>
          <w:szCs w:val="22"/>
        </w:rPr>
        <w:tab/>
        <w:t xml:space="preserve">De los de nulidad de los actos del Instituto Colombiano de Desarrollo Rural, Incoder, o de la entidad que haga sus veces, en los casos previstos en la ley. </w:t>
      </w:r>
    </w:p>
    <w:p w14:paraId="002F52D3" w14:textId="77777777" w:rsidR="00CB1679" w:rsidRPr="00CD7B09" w:rsidRDefault="00CB1679" w:rsidP="00CB1679">
      <w:pPr>
        <w:ind w:right="49"/>
        <w:jc w:val="both"/>
        <w:rPr>
          <w:rFonts w:ascii="Century Gothic" w:eastAsia="Garamond" w:hAnsi="Century Gothic" w:cs="Garamond"/>
          <w:sz w:val="22"/>
          <w:szCs w:val="22"/>
        </w:rPr>
      </w:pPr>
    </w:p>
    <w:p w14:paraId="3289086C"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sz w:val="22"/>
          <w:szCs w:val="22"/>
        </w:rPr>
      </w:pPr>
      <w:r w:rsidRPr="00CD7B09">
        <w:rPr>
          <w:rFonts w:ascii="Century Gothic" w:eastAsia="Garamond" w:hAnsi="Century Gothic" w:cs="Garamond"/>
          <w:b/>
          <w:sz w:val="22"/>
          <w:szCs w:val="22"/>
        </w:rPr>
        <w:t>Parágrafo 2º.</w:t>
      </w:r>
      <w:r w:rsidRPr="00CD7B09">
        <w:rPr>
          <w:rFonts w:ascii="Century Gothic" w:eastAsia="Garamond" w:hAnsi="Century Gothic" w:cs="Garamond"/>
          <w:sz w:val="22"/>
          <w:szCs w:val="22"/>
        </w:rPr>
        <w:t xml:space="preserve"> Los procesos judiciales iniciados con anterioridad a la entrada en vigor de esta ley se podrán acumular a los iniciados con posterioridad a ella, conforme al proceso establecido en esta ley, aunque el trámite sea distinto.</w:t>
      </w:r>
    </w:p>
    <w:p w14:paraId="4E14F1AC"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148844EE"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b/>
          <w:sz w:val="22"/>
          <w:szCs w:val="22"/>
        </w:rPr>
        <w:t>Artículo 129</w:t>
      </w:r>
      <w:r w:rsidRPr="00CD7B09">
        <w:rPr>
          <w:rFonts w:ascii="Century Gothic" w:eastAsia="Garamond" w:hAnsi="Century Gothic" w:cs="Helvetica"/>
          <w:sz w:val="22"/>
          <w:szCs w:val="22"/>
        </w:rPr>
        <w:t xml:space="preserve">. </w:t>
      </w:r>
      <w:r w:rsidRPr="00CD7B09">
        <w:rPr>
          <w:rFonts w:ascii="Century Gothic" w:eastAsia="Garamond" w:hAnsi="Century Gothic" w:cs="Helvetica"/>
          <w:b/>
          <w:sz w:val="22"/>
          <w:szCs w:val="22"/>
        </w:rPr>
        <w:t>Derogatorias y modificaciones</w:t>
      </w:r>
      <w:r w:rsidRPr="00CD7B09">
        <w:rPr>
          <w:rFonts w:ascii="Century Gothic" w:eastAsia="Garamond" w:hAnsi="Century Gothic" w:cs="Helvetica"/>
          <w:sz w:val="22"/>
          <w:szCs w:val="22"/>
        </w:rPr>
        <w:t>. La presente ley deroga, a partir de su vigencia, las siguientes expresiones de la Ley 1564 de 2012: “incluso los originados en relaciones de naturaleza agraria” en el numeral 1º del artículo 20; “agrario” en el numeral 8º del artículo 30; “agrario” en el inciso primero del artículo 618.</w:t>
      </w:r>
    </w:p>
    <w:p w14:paraId="4AC91216"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1EC7B59A" w14:textId="77777777" w:rsidR="00CB1679" w:rsidRPr="00CD7B09" w:rsidRDefault="00CB1679" w:rsidP="00CB167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Los procesos de expropiación y extinción de dominio tendrán siempre las fases administrativa y judicial del procedimiento único según lo establecido en el Decreto Ley 902 de 2017 y la presente ley. En materia de expropiación, la presente ley deroga, a partir de su vigencia, el inciso quinto del numeral 2 del artículo 33; los numerales 4, 5, 6, 8, 9, 10, 11, 12, 13, 14, 15, 17 y 18 del artículo 33 de la Ley 160 de 1994. Así mismo, deroga los numerales 10 y 11 del artículo 152; el numeral 5º del artículo 156; los literales “e”, “f” y “g” del numeral 2º del artículo 164 de la Ley 1437 de 2011. Igualmente, deroga el numeral 8 del artículo 390 de la Ley 1564 de 2012.</w:t>
      </w:r>
    </w:p>
    <w:p w14:paraId="6E8EA617" w14:textId="77777777" w:rsidR="00CB1679" w:rsidRPr="00CD7B09" w:rsidRDefault="00CB1679" w:rsidP="00CB1679">
      <w:pPr>
        <w:ind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El artículo 399 de la Ley 1564 de 2012 no se aplicará en los procesos de expropiación sobre bienes inmuebles ubicados en suelo clasificado como rural, salvo lo relativo al numeral 4 de dicha disposición alusivo a la entrega anticipada del bien, la cual aplicará en el marco del proceso previsto en esta ley.</w:t>
      </w:r>
    </w:p>
    <w:p w14:paraId="7186B5B1"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p>
    <w:p w14:paraId="57F53286" w14:textId="77777777" w:rsidR="00CB1679" w:rsidRPr="00CD7B09" w:rsidRDefault="00CB1679" w:rsidP="00CB167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Helvetica"/>
          <w:sz w:val="22"/>
          <w:szCs w:val="22"/>
        </w:rPr>
      </w:pPr>
      <w:r w:rsidRPr="00CD7B09">
        <w:rPr>
          <w:rFonts w:ascii="Century Gothic" w:eastAsia="Garamond" w:hAnsi="Century Gothic" w:cs="Helvetica"/>
          <w:sz w:val="22"/>
          <w:szCs w:val="22"/>
        </w:rPr>
        <w:t>Las expresiones alusivas en la Ley 160 de 1994 a los Tribunales Administrativos o al Consejo de Estado, deberán entenderse, conforme a las competencias señaladas en la presente ley, a los Jueces Agrarios y Rurales, a los Jueces Agrarios y Rurales Administrativos, a las Salas Agrarias y Rurales de los Tribunales Superiores de Distrito Judicial, a las Salas Agrarias y Rurales de los Tribunales Administrativos, a la Sala de Casación Civil, Agraria y Rural de la Corte Suprema de Justicia y a la Sección Primera Subsección B de la Sala de lo Contencioso Administrativo del Consejo de Estado, seg</w:t>
      </w:r>
      <w:r w:rsidRPr="00CD7B09">
        <w:rPr>
          <w:rFonts w:ascii="Century Gothic" w:eastAsia="Helvetica" w:hAnsi="Century Gothic" w:cs="Helvetica"/>
          <w:sz w:val="22"/>
          <w:szCs w:val="22"/>
        </w:rPr>
        <w:t>ún correspon</w:t>
      </w:r>
      <w:r w:rsidRPr="00CD7B09">
        <w:rPr>
          <w:rFonts w:ascii="Century Gothic" w:eastAsia="Garamond" w:hAnsi="Century Gothic" w:cs="Helvetica"/>
          <w:sz w:val="22"/>
          <w:szCs w:val="22"/>
        </w:rPr>
        <w:t>da.</w:t>
      </w:r>
    </w:p>
    <w:p w14:paraId="74A015D2" w14:textId="77777777" w:rsidR="00CB1679" w:rsidRPr="00CD7B09" w:rsidRDefault="00CB1679" w:rsidP="00CB1679">
      <w:pPr>
        <w:rPr>
          <w:rFonts w:ascii="Century Gothic" w:eastAsia="Arial" w:hAnsi="Century Gothic" w:cs="Arial"/>
          <w:b/>
          <w:i/>
          <w:sz w:val="22"/>
          <w:szCs w:val="22"/>
        </w:rPr>
      </w:pPr>
      <w:r w:rsidRPr="00CD7B09">
        <w:rPr>
          <w:rFonts w:ascii="Century Gothic" w:hAnsi="Century Gothic"/>
          <w:sz w:val="22"/>
          <w:szCs w:val="22"/>
        </w:rPr>
        <w:t xml:space="preserve"> </w:t>
      </w:r>
    </w:p>
    <w:p w14:paraId="5EE57A34" w14:textId="77777777" w:rsidR="0041410F" w:rsidRPr="00CD7B09" w:rsidRDefault="0041410F" w:rsidP="00E85348">
      <w:pPr>
        <w:widowControl w:val="0"/>
        <w:pBdr>
          <w:top w:val="nil"/>
          <w:left w:val="nil"/>
          <w:bottom w:val="nil"/>
          <w:right w:val="nil"/>
          <w:between w:val="nil"/>
        </w:pBdr>
        <w:spacing w:before="45" w:after="15"/>
        <w:ind w:left="324" w:right="49" w:hanging="324"/>
        <w:rPr>
          <w:rFonts w:ascii="Century Gothic" w:eastAsia="Garamond" w:hAnsi="Century Gothic" w:cs="Garamond"/>
          <w:b/>
          <w:sz w:val="22"/>
          <w:szCs w:val="22"/>
        </w:rPr>
      </w:pPr>
    </w:p>
    <w:p w14:paraId="5FB1AB4A" w14:textId="77777777" w:rsidR="00CB1679" w:rsidRPr="00CD7B09" w:rsidRDefault="00CB1679" w:rsidP="00E85348">
      <w:pPr>
        <w:widowControl w:val="0"/>
        <w:pBdr>
          <w:top w:val="nil"/>
          <w:left w:val="nil"/>
          <w:bottom w:val="nil"/>
          <w:right w:val="nil"/>
          <w:between w:val="nil"/>
        </w:pBdr>
        <w:spacing w:before="45" w:after="15"/>
        <w:ind w:left="324" w:right="49" w:hanging="324"/>
        <w:rPr>
          <w:rFonts w:ascii="Century Gothic" w:eastAsia="Garamond" w:hAnsi="Century Gothic" w:cs="Garamond"/>
          <w:b/>
          <w:sz w:val="22"/>
          <w:szCs w:val="22"/>
        </w:rPr>
      </w:pPr>
    </w:p>
    <w:p w14:paraId="3E052B4C" w14:textId="77777777" w:rsidR="00CB1679" w:rsidRPr="00CD7B09" w:rsidRDefault="00CB1679" w:rsidP="00E85348">
      <w:pPr>
        <w:widowControl w:val="0"/>
        <w:pBdr>
          <w:top w:val="nil"/>
          <w:left w:val="nil"/>
          <w:bottom w:val="nil"/>
          <w:right w:val="nil"/>
          <w:between w:val="nil"/>
        </w:pBdr>
        <w:spacing w:before="45" w:after="15"/>
        <w:ind w:left="324" w:right="49" w:hanging="324"/>
        <w:rPr>
          <w:rFonts w:ascii="Century Gothic" w:eastAsia="Garamond" w:hAnsi="Century Gothic" w:cs="Garamond"/>
          <w:b/>
          <w:sz w:val="22"/>
          <w:szCs w:val="22"/>
        </w:rPr>
      </w:pPr>
    </w:p>
    <w:p w14:paraId="675ACE49" w14:textId="77777777" w:rsidR="00CB1679" w:rsidRPr="00CD7B09" w:rsidRDefault="00CB1679" w:rsidP="00E85348">
      <w:pPr>
        <w:widowControl w:val="0"/>
        <w:pBdr>
          <w:top w:val="nil"/>
          <w:left w:val="nil"/>
          <w:bottom w:val="nil"/>
          <w:right w:val="nil"/>
          <w:between w:val="nil"/>
        </w:pBdr>
        <w:spacing w:before="45" w:after="15"/>
        <w:ind w:left="324" w:right="49" w:hanging="324"/>
        <w:rPr>
          <w:rFonts w:ascii="Century Gothic" w:eastAsia="Garamond" w:hAnsi="Century Gothic" w:cs="Garamond"/>
          <w:b/>
          <w:sz w:val="22"/>
          <w:szCs w:val="22"/>
        </w:rPr>
      </w:pPr>
    </w:p>
    <w:p w14:paraId="21A8B1E5" w14:textId="77777777" w:rsidR="00CB1679" w:rsidRPr="00CD7B09" w:rsidRDefault="00CB1679" w:rsidP="00E85348">
      <w:pPr>
        <w:widowControl w:val="0"/>
        <w:pBdr>
          <w:top w:val="nil"/>
          <w:left w:val="nil"/>
          <w:bottom w:val="nil"/>
          <w:right w:val="nil"/>
          <w:between w:val="nil"/>
        </w:pBdr>
        <w:spacing w:before="45" w:after="15"/>
        <w:ind w:left="324" w:right="49" w:hanging="324"/>
        <w:rPr>
          <w:rFonts w:ascii="Century Gothic" w:eastAsia="Garamond" w:hAnsi="Century Gothic" w:cs="Garamond"/>
          <w:b/>
          <w:sz w:val="22"/>
          <w:szCs w:val="22"/>
        </w:rPr>
      </w:pPr>
    </w:p>
    <w:p w14:paraId="40BFC53F" w14:textId="77777777" w:rsidR="00E85348" w:rsidRPr="00CD7B09" w:rsidRDefault="00E85348" w:rsidP="00E8534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rPr>
          <w:rFonts w:ascii="Century Gothic" w:eastAsia="Garamond" w:hAnsi="Century Gothic" w:cs="Garamond"/>
          <w:sz w:val="22"/>
          <w:szCs w:val="22"/>
        </w:rPr>
      </w:pPr>
      <w:r w:rsidRPr="00CD7B09">
        <w:rPr>
          <w:rFonts w:ascii="Century Gothic" w:eastAsia="Garamond" w:hAnsi="Century Gothic" w:cs="Garamond"/>
          <w:sz w:val="22"/>
          <w:szCs w:val="22"/>
        </w:rPr>
        <w:t xml:space="preserve">Cordialmente, </w:t>
      </w:r>
    </w:p>
    <w:p w14:paraId="17FED642" w14:textId="77777777" w:rsidR="00E85348" w:rsidRPr="00CD7B09" w:rsidRDefault="00E85348" w:rsidP="00E85348">
      <w:pPr>
        <w:pBdr>
          <w:top w:val="nil"/>
          <w:left w:val="nil"/>
          <w:bottom w:val="nil"/>
          <w:right w:val="nil"/>
          <w:between w:val="nil"/>
        </w:pBdr>
        <w:spacing w:before="45" w:after="15"/>
        <w:ind w:right="49"/>
        <w:jc w:val="both"/>
        <w:rPr>
          <w:rFonts w:ascii="Century Gothic" w:eastAsia="Garamond" w:hAnsi="Century Gothic" w:cs="Garamond"/>
          <w:sz w:val="22"/>
          <w:szCs w:val="22"/>
        </w:rPr>
      </w:pPr>
      <w:bookmarkStart w:id="0" w:name="_GoBack"/>
      <w:bookmarkEnd w:id="0"/>
    </w:p>
    <w:p w14:paraId="3DF64BFD" w14:textId="77777777" w:rsidR="00E85348" w:rsidRPr="00CD7B09" w:rsidRDefault="00E85348" w:rsidP="00E85348">
      <w:pPr>
        <w:rPr>
          <w:rFonts w:ascii="Century Gothic" w:hAnsi="Century Gothic"/>
          <w:b/>
          <w:sz w:val="22"/>
          <w:szCs w:val="22"/>
        </w:rPr>
      </w:pPr>
    </w:p>
    <w:p w14:paraId="5BD7FD96" w14:textId="77777777" w:rsidR="0041410F" w:rsidRPr="00CD7B09" w:rsidRDefault="0041410F" w:rsidP="00E85348">
      <w:pPr>
        <w:rPr>
          <w:rFonts w:ascii="Century Gothic" w:hAnsi="Century Gothic"/>
          <w:b/>
          <w:sz w:val="22"/>
          <w:szCs w:val="22"/>
        </w:rPr>
      </w:pPr>
    </w:p>
    <w:p w14:paraId="0BFF0975" w14:textId="77777777" w:rsidR="0041410F" w:rsidRPr="00CD7B09" w:rsidRDefault="0041410F" w:rsidP="00E85348">
      <w:pPr>
        <w:rPr>
          <w:rFonts w:ascii="Century Gothic" w:hAnsi="Century Gothic"/>
          <w:b/>
          <w:sz w:val="22"/>
          <w:szCs w:val="22"/>
        </w:rPr>
      </w:pPr>
    </w:p>
    <w:tbl>
      <w:tblPr>
        <w:tblStyle w:val="Tablaconcuadrcula"/>
        <w:tblW w:w="0" w:type="auto"/>
        <w:tblLook w:val="04A0" w:firstRow="1" w:lastRow="0" w:firstColumn="1" w:lastColumn="0" w:noHBand="0" w:noVBand="1"/>
      </w:tblPr>
      <w:tblGrid>
        <w:gridCol w:w="4414"/>
        <w:gridCol w:w="4414"/>
      </w:tblGrid>
      <w:tr w:rsidR="00CD7B09" w:rsidRPr="00CD7B09" w14:paraId="08E57013" w14:textId="77777777" w:rsidTr="009F0165">
        <w:tc>
          <w:tcPr>
            <w:tcW w:w="44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625D6A" w14:textId="77777777" w:rsidR="00544E6E" w:rsidRPr="00CD7B09" w:rsidRDefault="00544E6E" w:rsidP="009F0165">
            <w:pPr>
              <w:rPr>
                <w:rFonts w:ascii="Century Gothic" w:hAnsi="Century Gothic"/>
                <w:b/>
                <w:sz w:val="22"/>
                <w:szCs w:val="22"/>
              </w:rPr>
            </w:pPr>
            <w:r w:rsidRPr="00CD7B09">
              <w:rPr>
                <w:rFonts w:ascii="Century Gothic" w:hAnsi="Century Gothic"/>
                <w:b/>
                <w:sz w:val="22"/>
                <w:szCs w:val="22"/>
              </w:rPr>
              <w:t>Juanita Goebertus Estrada</w:t>
            </w:r>
          </w:p>
          <w:p w14:paraId="4CA6686D" w14:textId="77777777" w:rsidR="00544E6E" w:rsidRPr="00CD7B09" w:rsidRDefault="00544E6E" w:rsidP="009F0165">
            <w:pPr>
              <w:rPr>
                <w:rFonts w:ascii="Century Gothic" w:hAnsi="Century Gothic"/>
                <w:sz w:val="22"/>
                <w:szCs w:val="22"/>
              </w:rPr>
            </w:pPr>
            <w:r w:rsidRPr="00CD7B09">
              <w:rPr>
                <w:rFonts w:ascii="Century Gothic" w:hAnsi="Century Gothic"/>
                <w:sz w:val="22"/>
                <w:szCs w:val="22"/>
              </w:rPr>
              <w:t xml:space="preserve">Representante a la Cámara por Bogotá </w:t>
            </w:r>
          </w:p>
        </w:tc>
        <w:tc>
          <w:tcPr>
            <w:tcW w:w="44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00EAED" w14:textId="77777777" w:rsidR="00544E6E" w:rsidRPr="00CD7B09" w:rsidRDefault="00544E6E" w:rsidP="009F0165">
            <w:pPr>
              <w:rPr>
                <w:rFonts w:ascii="Century Gothic" w:hAnsi="Century Gothic"/>
                <w:b/>
                <w:sz w:val="22"/>
                <w:szCs w:val="22"/>
              </w:rPr>
            </w:pPr>
            <w:r w:rsidRPr="00CD7B09">
              <w:rPr>
                <w:rFonts w:ascii="Century Gothic" w:hAnsi="Century Gothic"/>
                <w:b/>
                <w:sz w:val="22"/>
                <w:szCs w:val="22"/>
              </w:rPr>
              <w:t>Adriana Magali Matiz Vargas</w:t>
            </w:r>
          </w:p>
          <w:p w14:paraId="69414AF4" w14:textId="77777777" w:rsidR="00544E6E" w:rsidRPr="00CD7B09" w:rsidRDefault="00544E6E" w:rsidP="009F0165">
            <w:pPr>
              <w:rPr>
                <w:rFonts w:ascii="Century Gothic" w:hAnsi="Century Gothic"/>
                <w:sz w:val="22"/>
                <w:szCs w:val="22"/>
              </w:rPr>
            </w:pPr>
            <w:r w:rsidRPr="00CD7B09">
              <w:rPr>
                <w:rFonts w:ascii="Century Gothic" w:hAnsi="Century Gothic"/>
                <w:sz w:val="22"/>
                <w:szCs w:val="22"/>
              </w:rPr>
              <w:t>Representante a la Cámara por Tolima</w:t>
            </w:r>
          </w:p>
        </w:tc>
      </w:tr>
      <w:tr w:rsidR="00CD7B09" w:rsidRPr="00CD7B09" w14:paraId="7A734408" w14:textId="77777777" w:rsidTr="009F0165">
        <w:tc>
          <w:tcPr>
            <w:tcW w:w="44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093EEC" w14:textId="77777777" w:rsidR="00544E6E" w:rsidRPr="00CD7B09" w:rsidRDefault="00544E6E" w:rsidP="009F0165">
            <w:pPr>
              <w:rPr>
                <w:rFonts w:ascii="Century Gothic" w:hAnsi="Century Gothic"/>
                <w:sz w:val="22"/>
                <w:szCs w:val="22"/>
              </w:rPr>
            </w:pPr>
          </w:p>
          <w:p w14:paraId="2EBFE284" w14:textId="77777777" w:rsidR="00544E6E" w:rsidRPr="00CD7B09" w:rsidRDefault="00544E6E" w:rsidP="009F0165">
            <w:pPr>
              <w:rPr>
                <w:rFonts w:ascii="Century Gothic" w:hAnsi="Century Gothic"/>
                <w:sz w:val="22"/>
                <w:szCs w:val="22"/>
              </w:rPr>
            </w:pPr>
          </w:p>
          <w:p w14:paraId="1261A252" w14:textId="77777777" w:rsidR="00544E6E" w:rsidRPr="00CD7B09" w:rsidRDefault="00544E6E" w:rsidP="009F0165">
            <w:pPr>
              <w:rPr>
                <w:rFonts w:ascii="Century Gothic" w:hAnsi="Century Gothic"/>
                <w:sz w:val="22"/>
                <w:szCs w:val="22"/>
              </w:rPr>
            </w:pPr>
          </w:p>
          <w:p w14:paraId="469CD863" w14:textId="77777777" w:rsidR="00544E6E" w:rsidRPr="00CD7B09" w:rsidRDefault="00544E6E" w:rsidP="009F0165">
            <w:pPr>
              <w:rPr>
                <w:rFonts w:ascii="Century Gothic" w:hAnsi="Century Gothic"/>
                <w:b/>
                <w:sz w:val="22"/>
                <w:szCs w:val="22"/>
              </w:rPr>
            </w:pPr>
            <w:r w:rsidRPr="00CD7B09">
              <w:rPr>
                <w:rFonts w:ascii="Century Gothic" w:hAnsi="Century Gothic"/>
                <w:b/>
                <w:sz w:val="22"/>
                <w:szCs w:val="22"/>
              </w:rPr>
              <w:t>Cesar Augusto Lorduy Maldonado</w:t>
            </w:r>
          </w:p>
          <w:p w14:paraId="0A263B70" w14:textId="77777777" w:rsidR="00544E6E" w:rsidRPr="00CD7B09" w:rsidRDefault="00544E6E" w:rsidP="009F0165">
            <w:pPr>
              <w:rPr>
                <w:rFonts w:ascii="Century Gothic" w:hAnsi="Century Gothic"/>
                <w:sz w:val="22"/>
                <w:szCs w:val="22"/>
              </w:rPr>
            </w:pPr>
            <w:r w:rsidRPr="00CD7B09">
              <w:rPr>
                <w:rFonts w:ascii="Century Gothic" w:hAnsi="Century Gothic"/>
                <w:sz w:val="22"/>
                <w:szCs w:val="22"/>
              </w:rPr>
              <w:t>Representante a la Cámara por Atlántico</w:t>
            </w:r>
          </w:p>
        </w:tc>
        <w:tc>
          <w:tcPr>
            <w:tcW w:w="44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C2F99F" w14:textId="77777777" w:rsidR="00544E6E" w:rsidRPr="00CD7B09" w:rsidRDefault="00544E6E" w:rsidP="009F0165">
            <w:pPr>
              <w:rPr>
                <w:rFonts w:ascii="Century Gothic" w:hAnsi="Century Gothic"/>
                <w:sz w:val="22"/>
                <w:szCs w:val="22"/>
              </w:rPr>
            </w:pPr>
          </w:p>
          <w:p w14:paraId="0DEF42F9" w14:textId="77777777" w:rsidR="00544E6E" w:rsidRPr="00CD7B09" w:rsidRDefault="00544E6E" w:rsidP="009F0165">
            <w:pPr>
              <w:rPr>
                <w:rFonts w:ascii="Century Gothic" w:hAnsi="Century Gothic"/>
                <w:sz w:val="22"/>
                <w:szCs w:val="22"/>
              </w:rPr>
            </w:pPr>
          </w:p>
          <w:p w14:paraId="2EE907D3" w14:textId="77777777" w:rsidR="00544E6E" w:rsidRPr="00CD7B09" w:rsidRDefault="00544E6E" w:rsidP="009F0165">
            <w:pPr>
              <w:rPr>
                <w:rFonts w:ascii="Century Gothic" w:hAnsi="Century Gothic"/>
                <w:sz w:val="22"/>
                <w:szCs w:val="22"/>
              </w:rPr>
            </w:pPr>
          </w:p>
          <w:p w14:paraId="3CDDFA6D" w14:textId="77777777" w:rsidR="00544E6E" w:rsidRPr="00CD7B09" w:rsidRDefault="00544E6E" w:rsidP="009F0165">
            <w:pPr>
              <w:rPr>
                <w:rFonts w:ascii="Century Gothic" w:hAnsi="Century Gothic"/>
                <w:b/>
                <w:sz w:val="22"/>
                <w:szCs w:val="22"/>
              </w:rPr>
            </w:pPr>
            <w:r w:rsidRPr="00CD7B09">
              <w:rPr>
                <w:rFonts w:ascii="Century Gothic" w:hAnsi="Century Gothic"/>
                <w:b/>
                <w:sz w:val="22"/>
                <w:szCs w:val="22"/>
              </w:rPr>
              <w:t>Gabriel Jaime Vallejo Chujfi</w:t>
            </w:r>
          </w:p>
          <w:p w14:paraId="2ADCFA18" w14:textId="77777777" w:rsidR="00544E6E" w:rsidRPr="00CD7B09" w:rsidRDefault="00544E6E" w:rsidP="009F0165">
            <w:pPr>
              <w:rPr>
                <w:rFonts w:ascii="Century Gothic" w:hAnsi="Century Gothic"/>
                <w:sz w:val="22"/>
                <w:szCs w:val="22"/>
              </w:rPr>
            </w:pPr>
            <w:r w:rsidRPr="00CD7B09">
              <w:rPr>
                <w:rFonts w:ascii="Century Gothic" w:hAnsi="Century Gothic"/>
                <w:sz w:val="22"/>
                <w:szCs w:val="22"/>
              </w:rPr>
              <w:t>Representante a la Cámara por Risaralda</w:t>
            </w:r>
          </w:p>
        </w:tc>
      </w:tr>
      <w:tr w:rsidR="00544E6E" w:rsidRPr="00CD7B09" w14:paraId="1F7952E3" w14:textId="77777777" w:rsidTr="009F0165">
        <w:tc>
          <w:tcPr>
            <w:tcW w:w="44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05D487" w14:textId="77777777" w:rsidR="00544E6E" w:rsidRPr="00CD7B09" w:rsidRDefault="00544E6E" w:rsidP="009F0165">
            <w:pPr>
              <w:rPr>
                <w:rFonts w:ascii="Century Gothic" w:hAnsi="Century Gothic"/>
                <w:sz w:val="22"/>
                <w:szCs w:val="22"/>
              </w:rPr>
            </w:pPr>
          </w:p>
          <w:p w14:paraId="01B70EFF" w14:textId="77777777" w:rsidR="00544E6E" w:rsidRPr="00CD7B09" w:rsidRDefault="00544E6E" w:rsidP="009F0165">
            <w:pPr>
              <w:rPr>
                <w:rFonts w:ascii="Century Gothic" w:hAnsi="Century Gothic"/>
                <w:sz w:val="22"/>
                <w:szCs w:val="22"/>
              </w:rPr>
            </w:pPr>
          </w:p>
          <w:p w14:paraId="66C6F8D8" w14:textId="77777777" w:rsidR="00544E6E" w:rsidRPr="00CD7B09" w:rsidRDefault="00544E6E" w:rsidP="009F0165">
            <w:pPr>
              <w:rPr>
                <w:rFonts w:ascii="Century Gothic" w:hAnsi="Century Gothic"/>
                <w:sz w:val="22"/>
                <w:szCs w:val="22"/>
              </w:rPr>
            </w:pPr>
          </w:p>
          <w:p w14:paraId="7A4556C0" w14:textId="77777777" w:rsidR="00544E6E" w:rsidRPr="00CD7B09" w:rsidRDefault="00544E6E" w:rsidP="009F0165">
            <w:pPr>
              <w:rPr>
                <w:rFonts w:ascii="Century Gothic" w:hAnsi="Century Gothic"/>
                <w:b/>
                <w:sz w:val="22"/>
                <w:szCs w:val="22"/>
              </w:rPr>
            </w:pPr>
            <w:r w:rsidRPr="00CD7B09">
              <w:rPr>
                <w:rFonts w:ascii="Century Gothic" w:hAnsi="Century Gothic"/>
                <w:b/>
                <w:sz w:val="22"/>
                <w:szCs w:val="22"/>
              </w:rPr>
              <w:t>Juan Carlos Lozada Vargas</w:t>
            </w:r>
          </w:p>
          <w:p w14:paraId="511E0440" w14:textId="77777777" w:rsidR="00544E6E" w:rsidRPr="00CD7B09" w:rsidRDefault="00544E6E" w:rsidP="009F0165">
            <w:pPr>
              <w:rPr>
                <w:rFonts w:ascii="Century Gothic" w:hAnsi="Century Gothic"/>
                <w:sz w:val="22"/>
                <w:szCs w:val="22"/>
              </w:rPr>
            </w:pPr>
            <w:r w:rsidRPr="00CD7B09">
              <w:rPr>
                <w:rFonts w:ascii="Century Gothic" w:hAnsi="Century Gothic"/>
                <w:sz w:val="22"/>
                <w:szCs w:val="22"/>
              </w:rPr>
              <w:t>Representante a la Cámara por Bogotá</w:t>
            </w:r>
          </w:p>
        </w:tc>
        <w:tc>
          <w:tcPr>
            <w:tcW w:w="44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95F8E0" w14:textId="77777777" w:rsidR="00544E6E" w:rsidRPr="00CD7B09" w:rsidRDefault="00544E6E" w:rsidP="009F0165">
            <w:pPr>
              <w:rPr>
                <w:rFonts w:ascii="Century Gothic" w:hAnsi="Century Gothic"/>
                <w:sz w:val="22"/>
                <w:szCs w:val="22"/>
              </w:rPr>
            </w:pPr>
          </w:p>
        </w:tc>
      </w:tr>
    </w:tbl>
    <w:p w14:paraId="7A219D58" w14:textId="623E201A" w:rsidR="0041410F" w:rsidRPr="00CD7B09" w:rsidRDefault="0041410F" w:rsidP="00544E6E">
      <w:pPr>
        <w:rPr>
          <w:rFonts w:ascii="Century Gothic" w:hAnsi="Century Gothic"/>
          <w:b/>
          <w:sz w:val="22"/>
          <w:szCs w:val="22"/>
        </w:rPr>
      </w:pPr>
    </w:p>
    <w:sectPr w:rsidR="0041410F" w:rsidRPr="00CD7B09" w:rsidSect="0028155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E95F8" w14:textId="77777777" w:rsidR="005B4C1C" w:rsidRDefault="005B4C1C" w:rsidP="00A6736C">
      <w:r>
        <w:separator/>
      </w:r>
    </w:p>
  </w:endnote>
  <w:endnote w:type="continuationSeparator" w:id="0">
    <w:p w14:paraId="0C910E9C" w14:textId="77777777" w:rsidR="005B4C1C" w:rsidRDefault="005B4C1C" w:rsidP="00A6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auto"/>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Cardo">
    <w:altName w:val="Calibri"/>
    <w:charset w:val="00"/>
    <w:family w:val="auto"/>
    <w:pitch w:val="default"/>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01138" w14:textId="77777777" w:rsidR="005B4C1C" w:rsidRDefault="005B4C1C" w:rsidP="00A6736C">
      <w:r>
        <w:separator/>
      </w:r>
    </w:p>
  </w:footnote>
  <w:footnote w:type="continuationSeparator" w:id="0">
    <w:p w14:paraId="04DFC81C" w14:textId="77777777" w:rsidR="005B4C1C" w:rsidRDefault="005B4C1C" w:rsidP="00A6736C">
      <w:r>
        <w:continuationSeparator/>
      </w:r>
    </w:p>
  </w:footnote>
  <w:footnote w:id="1">
    <w:p w14:paraId="44E3947A" w14:textId="1226C329" w:rsidR="00B04545" w:rsidRPr="00B42E60" w:rsidRDefault="00B04545" w:rsidP="00B04545">
      <w:pPr>
        <w:rPr>
          <w:rFonts w:ascii="Century Gothic" w:eastAsia="Arial" w:hAnsi="Century Gothic" w:cs="Arial"/>
          <w:sz w:val="20"/>
          <w:szCs w:val="20"/>
        </w:rPr>
      </w:pPr>
      <w:r w:rsidRPr="00B42E60">
        <w:rPr>
          <w:rStyle w:val="Refdenotaalpie"/>
          <w:rFonts w:ascii="Century Gothic" w:hAnsi="Century Gothic"/>
          <w:sz w:val="20"/>
          <w:szCs w:val="20"/>
        </w:rPr>
        <w:footnoteRef/>
      </w:r>
      <w:r w:rsidRPr="00B42E60">
        <w:rPr>
          <w:rFonts w:ascii="Century Gothic" w:hAnsi="Century Gothic"/>
          <w:sz w:val="20"/>
          <w:szCs w:val="20"/>
        </w:rPr>
        <w:t xml:space="preserve"> Elaboraci</w:t>
      </w:r>
      <w:r w:rsidRPr="00B42E60">
        <w:rPr>
          <w:rFonts w:ascii="Century Gothic" w:eastAsia="Helvetica" w:hAnsi="Century Gothic" w:cs="Helvetica"/>
          <w:sz w:val="20"/>
          <w:szCs w:val="20"/>
        </w:rPr>
        <w:t>ón propia a partir del Derecho de Petición Ministerio de Justicia y de</w:t>
      </w:r>
      <w:r w:rsidRPr="00B42E60">
        <w:rPr>
          <w:rFonts w:ascii="Century Gothic" w:hAnsi="Century Gothic"/>
          <w:sz w:val="20"/>
          <w:szCs w:val="20"/>
        </w:rPr>
        <w:t>l Derecho. Radicado No. MJD-OFI20-0005752-VPJ-2000. 21 de febrero de 20</w:t>
      </w:r>
      <w:r w:rsidRPr="00B42E60">
        <w:rPr>
          <w:rFonts w:ascii="Century Gothic" w:eastAsia="Arial" w:hAnsi="Century Gothic" w:cs="Arial"/>
          <w:sz w:val="20"/>
          <w:szCs w:val="20"/>
        </w:rPr>
        <w:t>20.</w:t>
      </w:r>
    </w:p>
  </w:footnote>
  <w:footnote w:id="2">
    <w:p w14:paraId="11470CA0" w14:textId="7193118B" w:rsidR="00B04545" w:rsidRPr="00B42E60" w:rsidRDefault="00B04545">
      <w:pPr>
        <w:pStyle w:val="Textonotapie"/>
        <w:rPr>
          <w:rFonts w:ascii="Century Gothic" w:hAnsi="Century Gothic"/>
          <w:sz w:val="20"/>
          <w:szCs w:val="20"/>
          <w:lang w:val="es-ES"/>
        </w:rPr>
      </w:pPr>
      <w:r w:rsidRPr="00B42E60">
        <w:rPr>
          <w:rStyle w:val="Refdenotaalpie"/>
          <w:rFonts w:ascii="Century Gothic" w:hAnsi="Century Gothic"/>
          <w:sz w:val="20"/>
          <w:szCs w:val="20"/>
        </w:rPr>
        <w:footnoteRef/>
      </w:r>
      <w:r w:rsidRPr="00B42E60">
        <w:rPr>
          <w:rFonts w:ascii="Century Gothic" w:hAnsi="Century Gothic"/>
          <w:sz w:val="20"/>
          <w:szCs w:val="20"/>
        </w:rPr>
        <w:t xml:space="preserve"> Elaboraci</w:t>
      </w:r>
      <w:r w:rsidRPr="00B42E60">
        <w:rPr>
          <w:rFonts w:ascii="Century Gothic" w:eastAsia="Helvetica" w:hAnsi="Century Gothic" w:cs="Helvetica"/>
          <w:sz w:val="20"/>
          <w:szCs w:val="20"/>
        </w:rPr>
        <w:t>ón propia a partir del Derecho de Petición Ministerio de Justicia y del Derecho. Radicado No. MJD-OFI20-0005752-VPJ-2000. 21 de febrero de 2020</w:t>
      </w:r>
      <w:r w:rsidRPr="00B42E60">
        <w:rPr>
          <w:rFonts w:ascii="Century Gothic" w:eastAsia="Arial" w:hAnsi="Century Gothic" w:cs="Arial"/>
          <w:sz w:val="20"/>
          <w:szCs w:val="20"/>
        </w:rPr>
        <w:t>.</w:t>
      </w:r>
    </w:p>
  </w:footnote>
  <w:footnote w:id="3">
    <w:p w14:paraId="38B67231" w14:textId="77777777" w:rsidR="00B04545" w:rsidRPr="00B42E60" w:rsidRDefault="00B04545" w:rsidP="00B04545">
      <w:pPr>
        <w:rPr>
          <w:rFonts w:ascii="Century Gothic" w:hAnsi="Century Gothic"/>
          <w:sz w:val="20"/>
          <w:szCs w:val="20"/>
        </w:rPr>
      </w:pPr>
      <w:r w:rsidRPr="00B42E60">
        <w:rPr>
          <w:rFonts w:ascii="Century Gothic" w:hAnsi="Century Gothic"/>
          <w:sz w:val="20"/>
          <w:szCs w:val="20"/>
          <w:vertAlign w:val="superscript"/>
        </w:rPr>
        <w:footnoteRef/>
      </w:r>
      <w:r w:rsidRPr="00B42E60">
        <w:rPr>
          <w:rFonts w:ascii="Century Gothic" w:hAnsi="Century Gothic"/>
          <w:sz w:val="20"/>
          <w:szCs w:val="20"/>
        </w:rPr>
        <w:t xml:space="preserve"> Elaboración propia a partir del Derecho de Petición Ministerio de Justicia y del Derecho. Radicado No. MJD-OFI20-0005752-VPJ-2000. 21 de febrero de 2020.</w:t>
      </w:r>
    </w:p>
  </w:footnote>
  <w:footnote w:id="4">
    <w:p w14:paraId="68873AE3" w14:textId="77777777" w:rsidR="00E61C26" w:rsidRPr="00B42E60" w:rsidRDefault="00E61C26" w:rsidP="00E61C26">
      <w:pPr>
        <w:rPr>
          <w:rFonts w:ascii="Century Gothic" w:hAnsi="Century Gothic"/>
          <w:sz w:val="20"/>
          <w:szCs w:val="20"/>
        </w:rPr>
      </w:pPr>
      <w:r w:rsidRPr="00B42E60">
        <w:rPr>
          <w:rFonts w:ascii="Century Gothic" w:hAnsi="Century Gothic"/>
          <w:sz w:val="20"/>
          <w:szCs w:val="20"/>
          <w:vertAlign w:val="superscript"/>
        </w:rPr>
        <w:footnoteRef/>
      </w:r>
      <w:r w:rsidRPr="00B42E60">
        <w:rPr>
          <w:rFonts w:ascii="Century Gothic" w:hAnsi="Century Gothic"/>
          <w:sz w:val="20"/>
          <w:szCs w:val="20"/>
        </w:rPr>
        <w:t xml:space="preserve"> DANE, 2020. </w:t>
      </w:r>
      <w:hyperlink r:id="rId1">
        <w:r w:rsidRPr="00B42E60">
          <w:rPr>
            <w:rFonts w:ascii="Century Gothic" w:hAnsi="Century Gothic"/>
            <w:sz w:val="20"/>
            <w:szCs w:val="20"/>
          </w:rPr>
          <w:t>Encuesta de Convivencia y Seguridad Ciudadana (ECSC)</w:t>
        </w:r>
      </w:hyperlink>
      <w:r w:rsidRPr="00B42E60">
        <w:rPr>
          <w:rFonts w:ascii="Century Gothic" w:hAnsi="Century Gothic"/>
          <w:sz w:val="20"/>
          <w:szCs w:val="20"/>
        </w:rPr>
        <w:t>. Información 2020 con periodo de referencia 2019.</w:t>
      </w:r>
    </w:p>
  </w:footnote>
  <w:footnote w:id="5">
    <w:p w14:paraId="03D48379" w14:textId="77777777" w:rsidR="00E61C26" w:rsidRPr="00B42E60" w:rsidRDefault="00E61C26" w:rsidP="00E61C26">
      <w:pPr>
        <w:rPr>
          <w:rFonts w:ascii="Century Gothic" w:hAnsi="Century Gothic"/>
          <w:sz w:val="20"/>
          <w:szCs w:val="20"/>
        </w:rPr>
      </w:pPr>
      <w:r w:rsidRPr="00B42E60">
        <w:rPr>
          <w:rFonts w:ascii="Century Gothic" w:hAnsi="Century Gothic"/>
          <w:sz w:val="20"/>
          <w:szCs w:val="20"/>
          <w:vertAlign w:val="superscript"/>
        </w:rPr>
        <w:footnoteRef/>
      </w:r>
      <w:r w:rsidRPr="00B42E60">
        <w:rPr>
          <w:rFonts w:ascii="Century Gothic" w:hAnsi="Century Gothic"/>
          <w:sz w:val="20"/>
          <w:szCs w:val="20"/>
        </w:rPr>
        <w:t xml:space="preserve"> DANE, 2020. </w:t>
      </w:r>
      <w:hyperlink r:id="rId2">
        <w:r w:rsidRPr="00B42E60">
          <w:rPr>
            <w:rFonts w:ascii="Century Gothic" w:hAnsi="Century Gothic"/>
            <w:sz w:val="20"/>
            <w:szCs w:val="20"/>
          </w:rPr>
          <w:t>Encuesta de Convivencia y Seguridad Ciudadana (ECSC)</w:t>
        </w:r>
      </w:hyperlink>
      <w:r w:rsidRPr="00B42E60">
        <w:rPr>
          <w:rFonts w:ascii="Century Gothic" w:hAnsi="Century Gothic"/>
          <w:sz w:val="20"/>
          <w:szCs w:val="20"/>
        </w:rPr>
        <w:t>. Información 2020 con periodo de referencia 2019</w:t>
      </w:r>
    </w:p>
  </w:footnote>
  <w:footnote w:id="6">
    <w:p w14:paraId="22A33369" w14:textId="77777777" w:rsidR="00A6736C" w:rsidRPr="00B42E60" w:rsidRDefault="00A6736C" w:rsidP="00A6736C">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color w:val="000000"/>
          <w:sz w:val="20"/>
          <w:szCs w:val="20"/>
        </w:rPr>
      </w:pPr>
      <w:r w:rsidRPr="00B42E60">
        <w:rPr>
          <w:rFonts w:ascii="Century Gothic" w:hAnsi="Century Gothic"/>
          <w:sz w:val="20"/>
          <w:szCs w:val="20"/>
          <w:vertAlign w:val="superscript"/>
        </w:rPr>
        <w:footnoteRef/>
      </w:r>
      <w:r w:rsidRPr="00B42E60">
        <w:rPr>
          <w:rFonts w:ascii="Century Gothic" w:hAnsi="Century Gothic"/>
          <w:color w:val="000000"/>
          <w:sz w:val="20"/>
          <w:szCs w:val="20"/>
        </w:rPr>
        <w:t xml:space="preserve"> Consejo de Estado, Sala de lo Contencioso Administrativo, sentencia de 10 de noviembre de 2009, radicación número: PI. 01180-00 (C. P. Martha Teresa Briceño de Valencia).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839192B"/>
    <w:multiLevelType w:val="multilevel"/>
    <w:tmpl w:val="546C2596"/>
    <w:lvl w:ilvl="0">
      <w:start w:val="1"/>
      <w:numFmt w:val="decimal"/>
      <w:lvlText w:val="%1."/>
      <w:lvlJc w:val="left"/>
      <w:pPr>
        <w:ind w:left="913" w:hanging="360"/>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3">
    <w:nsid w:val="088464E2"/>
    <w:multiLevelType w:val="multilevel"/>
    <w:tmpl w:val="1EE0B9E0"/>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4">
    <w:nsid w:val="095F2379"/>
    <w:multiLevelType w:val="multilevel"/>
    <w:tmpl w:val="3A820442"/>
    <w:lvl w:ilvl="0">
      <w:start w:val="1"/>
      <w:numFmt w:val="decimal"/>
      <w:lvlText w:val="%1."/>
      <w:lvlJc w:val="left"/>
      <w:pPr>
        <w:ind w:left="640" w:hanging="72"/>
      </w:pPr>
      <w:rPr>
        <w:smallCaps w:val="0"/>
        <w:strike w:val="0"/>
        <w:shd w:val="clear" w:color="auto" w:fill="auto"/>
        <w:vertAlign w:val="baseline"/>
      </w:rPr>
    </w:lvl>
    <w:lvl w:ilvl="1">
      <w:start w:val="1"/>
      <w:numFmt w:val="decimal"/>
      <w:lvlText w:val="%2."/>
      <w:lvlJc w:val="left"/>
      <w:pPr>
        <w:ind w:left="1360" w:hanging="72"/>
      </w:pPr>
      <w:rPr>
        <w:smallCaps w:val="0"/>
        <w:strike w:val="0"/>
        <w:shd w:val="clear" w:color="auto" w:fill="auto"/>
        <w:vertAlign w:val="baseline"/>
      </w:rPr>
    </w:lvl>
    <w:lvl w:ilvl="2">
      <w:start w:val="1"/>
      <w:numFmt w:val="decimal"/>
      <w:lvlText w:val="%3."/>
      <w:lvlJc w:val="left"/>
      <w:pPr>
        <w:ind w:left="2080" w:hanging="72"/>
      </w:pPr>
      <w:rPr>
        <w:smallCaps w:val="0"/>
        <w:strike w:val="0"/>
        <w:shd w:val="clear" w:color="auto" w:fill="auto"/>
        <w:vertAlign w:val="baseline"/>
      </w:rPr>
    </w:lvl>
    <w:lvl w:ilvl="3">
      <w:start w:val="1"/>
      <w:numFmt w:val="decimal"/>
      <w:lvlText w:val="%4."/>
      <w:lvlJc w:val="left"/>
      <w:pPr>
        <w:ind w:left="2800" w:hanging="72"/>
      </w:pPr>
      <w:rPr>
        <w:smallCaps w:val="0"/>
        <w:strike w:val="0"/>
        <w:shd w:val="clear" w:color="auto" w:fill="auto"/>
        <w:vertAlign w:val="baseline"/>
      </w:rPr>
    </w:lvl>
    <w:lvl w:ilvl="4">
      <w:start w:val="1"/>
      <w:numFmt w:val="decimal"/>
      <w:lvlText w:val="%5."/>
      <w:lvlJc w:val="left"/>
      <w:pPr>
        <w:ind w:left="3520" w:hanging="72"/>
      </w:pPr>
      <w:rPr>
        <w:smallCaps w:val="0"/>
        <w:strike w:val="0"/>
        <w:shd w:val="clear" w:color="auto" w:fill="auto"/>
        <w:vertAlign w:val="baseline"/>
      </w:rPr>
    </w:lvl>
    <w:lvl w:ilvl="5">
      <w:start w:val="1"/>
      <w:numFmt w:val="decimal"/>
      <w:lvlText w:val="%6."/>
      <w:lvlJc w:val="left"/>
      <w:pPr>
        <w:ind w:left="4240" w:hanging="72"/>
      </w:pPr>
      <w:rPr>
        <w:smallCaps w:val="0"/>
        <w:strike w:val="0"/>
        <w:shd w:val="clear" w:color="auto" w:fill="auto"/>
        <w:vertAlign w:val="baseline"/>
      </w:rPr>
    </w:lvl>
    <w:lvl w:ilvl="6">
      <w:start w:val="1"/>
      <w:numFmt w:val="decimal"/>
      <w:lvlText w:val="%7."/>
      <w:lvlJc w:val="left"/>
      <w:pPr>
        <w:ind w:left="4960" w:hanging="72"/>
      </w:pPr>
      <w:rPr>
        <w:smallCaps w:val="0"/>
        <w:strike w:val="0"/>
        <w:shd w:val="clear" w:color="auto" w:fill="auto"/>
        <w:vertAlign w:val="baseline"/>
      </w:rPr>
    </w:lvl>
    <w:lvl w:ilvl="7">
      <w:start w:val="1"/>
      <w:numFmt w:val="decimal"/>
      <w:lvlText w:val="%8."/>
      <w:lvlJc w:val="left"/>
      <w:pPr>
        <w:ind w:left="5680" w:hanging="72"/>
      </w:pPr>
      <w:rPr>
        <w:smallCaps w:val="0"/>
        <w:strike w:val="0"/>
        <w:shd w:val="clear" w:color="auto" w:fill="auto"/>
        <w:vertAlign w:val="baseline"/>
      </w:rPr>
    </w:lvl>
    <w:lvl w:ilvl="8">
      <w:start w:val="1"/>
      <w:numFmt w:val="decimal"/>
      <w:lvlText w:val="%9."/>
      <w:lvlJc w:val="left"/>
      <w:pPr>
        <w:ind w:left="6400" w:hanging="72"/>
      </w:pPr>
      <w:rPr>
        <w:smallCaps w:val="0"/>
        <w:strike w:val="0"/>
        <w:shd w:val="clear" w:color="auto" w:fill="auto"/>
        <w:vertAlign w:val="baseline"/>
      </w:rPr>
    </w:lvl>
  </w:abstractNum>
  <w:abstractNum w:abstractNumId="5">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0A7566E5"/>
    <w:multiLevelType w:val="hybridMultilevel"/>
    <w:tmpl w:val="558EB852"/>
    <w:lvl w:ilvl="0" w:tplc="04D26796">
      <w:start w:val="6"/>
      <w:numFmt w:val="bullet"/>
      <w:lvlText w:val="-"/>
      <w:lvlJc w:val="left"/>
      <w:pPr>
        <w:ind w:left="720" w:hanging="360"/>
      </w:pPr>
      <w:rPr>
        <w:rFonts w:ascii="Helvetica" w:eastAsia="Helvetica" w:hAnsi="Helvetica" w:cs="Helvetica"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0E881E10"/>
    <w:multiLevelType w:val="multilevel"/>
    <w:tmpl w:val="18363FA6"/>
    <w:lvl w:ilvl="0">
      <w:start w:val="1"/>
      <w:numFmt w:val="decimal"/>
      <w:lvlText w:val="%1."/>
      <w:lvlJc w:val="left"/>
      <w:pPr>
        <w:ind w:left="536" w:firstLine="314"/>
      </w:pPr>
      <w:rPr>
        <w:smallCaps w:val="0"/>
        <w:strike w:val="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2FA30F8"/>
    <w:multiLevelType w:val="hybridMultilevel"/>
    <w:tmpl w:val="A028C1F8"/>
    <w:lvl w:ilvl="0" w:tplc="040A000F">
      <w:start w:val="1"/>
      <w:numFmt w:val="decimal"/>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5">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1CB51084"/>
    <w:multiLevelType w:val="multilevel"/>
    <w:tmpl w:val="93DCED80"/>
    <w:lvl w:ilvl="0">
      <w:start w:val="1"/>
      <w:numFmt w:val="upperLetter"/>
      <w:lvlText w:val="%1."/>
      <w:lvlJc w:val="left"/>
      <w:pPr>
        <w:ind w:left="883" w:hanging="676"/>
      </w:pPr>
      <w:rPr>
        <w:smallCaps w:val="0"/>
        <w:strike w:val="0"/>
        <w:shd w:val="clear" w:color="auto" w:fill="auto"/>
        <w:vertAlign w:val="baseline"/>
      </w:rPr>
    </w:lvl>
    <w:lvl w:ilvl="1">
      <w:start w:val="1"/>
      <w:numFmt w:val="upperLetter"/>
      <w:lvlText w:val="%2."/>
      <w:lvlJc w:val="left"/>
      <w:pPr>
        <w:ind w:left="1883" w:hanging="675"/>
      </w:pPr>
      <w:rPr>
        <w:smallCaps w:val="0"/>
        <w:strike w:val="0"/>
        <w:shd w:val="clear" w:color="auto" w:fill="auto"/>
        <w:vertAlign w:val="baseline"/>
      </w:rPr>
    </w:lvl>
    <w:lvl w:ilvl="2">
      <w:start w:val="1"/>
      <w:numFmt w:val="upperLetter"/>
      <w:lvlText w:val="%3."/>
      <w:lvlJc w:val="left"/>
      <w:pPr>
        <w:ind w:left="2883" w:hanging="676"/>
      </w:pPr>
      <w:rPr>
        <w:smallCaps w:val="0"/>
        <w:strike w:val="0"/>
        <w:shd w:val="clear" w:color="auto" w:fill="auto"/>
        <w:vertAlign w:val="baseline"/>
      </w:rPr>
    </w:lvl>
    <w:lvl w:ilvl="3">
      <w:start w:val="1"/>
      <w:numFmt w:val="upperLetter"/>
      <w:lvlText w:val="%4."/>
      <w:lvlJc w:val="left"/>
      <w:pPr>
        <w:ind w:left="3883" w:hanging="675"/>
      </w:pPr>
      <w:rPr>
        <w:smallCaps w:val="0"/>
        <w:strike w:val="0"/>
        <w:shd w:val="clear" w:color="auto" w:fill="auto"/>
        <w:vertAlign w:val="baseline"/>
      </w:rPr>
    </w:lvl>
    <w:lvl w:ilvl="4">
      <w:start w:val="1"/>
      <w:numFmt w:val="upperLetter"/>
      <w:lvlText w:val="%5."/>
      <w:lvlJc w:val="left"/>
      <w:pPr>
        <w:ind w:left="4883" w:hanging="676"/>
      </w:pPr>
      <w:rPr>
        <w:smallCaps w:val="0"/>
        <w:strike w:val="0"/>
        <w:shd w:val="clear" w:color="auto" w:fill="auto"/>
        <w:vertAlign w:val="baseline"/>
      </w:rPr>
    </w:lvl>
    <w:lvl w:ilvl="5">
      <w:start w:val="1"/>
      <w:numFmt w:val="upperLetter"/>
      <w:lvlText w:val="%6."/>
      <w:lvlJc w:val="left"/>
      <w:pPr>
        <w:ind w:left="5883" w:hanging="676"/>
      </w:pPr>
      <w:rPr>
        <w:smallCaps w:val="0"/>
        <w:strike w:val="0"/>
        <w:shd w:val="clear" w:color="auto" w:fill="auto"/>
        <w:vertAlign w:val="baseline"/>
      </w:rPr>
    </w:lvl>
    <w:lvl w:ilvl="6">
      <w:start w:val="1"/>
      <w:numFmt w:val="upperLetter"/>
      <w:lvlText w:val="%7."/>
      <w:lvlJc w:val="left"/>
      <w:pPr>
        <w:ind w:left="6687" w:hanging="480"/>
      </w:pPr>
      <w:rPr>
        <w:smallCaps w:val="0"/>
        <w:strike w:val="0"/>
        <w:shd w:val="clear" w:color="auto" w:fill="auto"/>
        <w:vertAlign w:val="baseline"/>
      </w:rPr>
    </w:lvl>
    <w:lvl w:ilvl="7">
      <w:start w:val="1"/>
      <w:numFmt w:val="upperLetter"/>
      <w:lvlText w:val="%8."/>
      <w:lvlJc w:val="left"/>
      <w:pPr>
        <w:ind w:left="7883" w:hanging="676"/>
      </w:pPr>
      <w:rPr>
        <w:smallCaps w:val="0"/>
        <w:strike w:val="0"/>
        <w:shd w:val="clear" w:color="auto" w:fill="auto"/>
        <w:vertAlign w:val="baseline"/>
      </w:rPr>
    </w:lvl>
    <w:lvl w:ilvl="8">
      <w:start w:val="1"/>
      <w:numFmt w:val="upperLetter"/>
      <w:lvlText w:val="%9."/>
      <w:lvlJc w:val="left"/>
      <w:pPr>
        <w:ind w:left="8687" w:hanging="480"/>
      </w:pPr>
      <w:rPr>
        <w:smallCaps w:val="0"/>
        <w:strike w:val="0"/>
        <w:shd w:val="clear" w:color="auto" w:fill="auto"/>
        <w:vertAlign w:val="baseline"/>
      </w:rPr>
    </w:lvl>
  </w:abstractNum>
  <w:abstractNum w:abstractNumId="19">
    <w:nsid w:val="1D847F4F"/>
    <w:multiLevelType w:val="multilevel"/>
    <w:tmpl w:val="AB0454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1E943F7D"/>
    <w:multiLevelType w:val="multilevel"/>
    <w:tmpl w:val="D5D27630"/>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22">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24CC6993"/>
    <w:multiLevelType w:val="multilevel"/>
    <w:tmpl w:val="F2E854D2"/>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26">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28DB231E"/>
    <w:multiLevelType w:val="multilevel"/>
    <w:tmpl w:val="B178DE9A"/>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28">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2B451E54"/>
    <w:multiLevelType w:val="multilevel"/>
    <w:tmpl w:val="7FBAA0E6"/>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30">
    <w:nsid w:val="2B771EC9"/>
    <w:multiLevelType w:val="multilevel"/>
    <w:tmpl w:val="95C89978"/>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31">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2F82451C"/>
    <w:multiLevelType w:val="multilevel"/>
    <w:tmpl w:val="1EAC0DAA"/>
    <w:lvl w:ilvl="0">
      <w:start w:val="1"/>
      <w:numFmt w:val="decimal"/>
      <w:lvlText w:val="%1."/>
      <w:lvlJc w:val="left"/>
      <w:pPr>
        <w:ind w:left="987" w:hanging="4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nsid w:val="328B3906"/>
    <w:multiLevelType w:val="multilevel"/>
    <w:tmpl w:val="A454A67C"/>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38">
    <w:nsid w:val="33352DB9"/>
    <w:multiLevelType w:val="multilevel"/>
    <w:tmpl w:val="BAE8C8D8"/>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39">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37224544"/>
    <w:multiLevelType w:val="hybridMultilevel"/>
    <w:tmpl w:val="898C5A40"/>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39DF6197"/>
    <w:multiLevelType w:val="multilevel"/>
    <w:tmpl w:val="E342EE2E"/>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44">
    <w:nsid w:val="3A8C5B6F"/>
    <w:multiLevelType w:val="multilevel"/>
    <w:tmpl w:val="101C45AA"/>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45">
    <w:nsid w:val="3CE01588"/>
    <w:multiLevelType w:val="multilevel"/>
    <w:tmpl w:val="6D780AB6"/>
    <w:lvl w:ilvl="0">
      <w:start w:val="1"/>
      <w:numFmt w:val="decimal"/>
      <w:lvlText w:val="%1."/>
      <w:lvlJc w:val="left"/>
      <w:pPr>
        <w:ind w:left="393" w:hanging="393"/>
      </w:pPr>
      <w:rPr>
        <w:smallCaps w:val="0"/>
        <w:strike w:val="0"/>
        <w:shd w:val="clear" w:color="auto" w:fill="auto"/>
        <w:vertAlign w:val="baseline"/>
      </w:rPr>
    </w:lvl>
    <w:lvl w:ilvl="1">
      <w:start w:val="1"/>
      <w:numFmt w:val="decimal"/>
      <w:lvlText w:val="%2."/>
      <w:lvlJc w:val="left"/>
      <w:pPr>
        <w:ind w:left="753" w:hanging="393"/>
      </w:pPr>
      <w:rPr>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46">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nsid w:val="44F07C25"/>
    <w:multiLevelType w:val="multilevel"/>
    <w:tmpl w:val="E43695F8"/>
    <w:lvl w:ilvl="0">
      <w:start w:val="1"/>
      <w:numFmt w:val="decimal"/>
      <w:lvlText w:val="%1."/>
      <w:lvlJc w:val="left"/>
      <w:pPr>
        <w:ind w:left="567" w:hanging="360"/>
      </w:pPr>
      <w:rPr>
        <w:smallCaps w:val="0"/>
        <w:strike w:val="0"/>
        <w:shd w:val="clear" w:color="auto" w:fill="auto"/>
        <w:vertAlign w:val="baseline"/>
      </w:rPr>
    </w:lvl>
    <w:lvl w:ilvl="1">
      <w:start w:val="1"/>
      <w:numFmt w:val="lowerLetter"/>
      <w:lvlText w:val="%2."/>
      <w:lvlJc w:val="left"/>
      <w:pPr>
        <w:ind w:left="1287" w:hanging="360"/>
      </w:pPr>
      <w:rPr>
        <w:smallCaps w:val="0"/>
        <w:strike w:val="0"/>
        <w:shd w:val="clear" w:color="auto" w:fill="auto"/>
        <w:vertAlign w:val="baseline"/>
      </w:rPr>
    </w:lvl>
    <w:lvl w:ilvl="2">
      <w:start w:val="1"/>
      <w:numFmt w:val="lowerRoman"/>
      <w:lvlText w:val="%3."/>
      <w:lvlJc w:val="left"/>
      <w:pPr>
        <w:ind w:left="2007" w:hanging="313"/>
      </w:pPr>
      <w:rPr>
        <w:smallCaps w:val="0"/>
        <w:strike w:val="0"/>
        <w:shd w:val="clear" w:color="auto" w:fill="auto"/>
        <w:vertAlign w:val="baseline"/>
      </w:rPr>
    </w:lvl>
    <w:lvl w:ilvl="3">
      <w:start w:val="1"/>
      <w:numFmt w:val="decimal"/>
      <w:lvlText w:val="%4."/>
      <w:lvlJc w:val="left"/>
      <w:pPr>
        <w:ind w:left="2727" w:hanging="360"/>
      </w:pPr>
      <w:rPr>
        <w:smallCaps w:val="0"/>
        <w:strike w:val="0"/>
        <w:shd w:val="clear" w:color="auto" w:fill="auto"/>
        <w:vertAlign w:val="baseline"/>
      </w:rPr>
    </w:lvl>
    <w:lvl w:ilvl="4">
      <w:start w:val="1"/>
      <w:numFmt w:val="lowerLetter"/>
      <w:lvlText w:val="%5."/>
      <w:lvlJc w:val="left"/>
      <w:pPr>
        <w:ind w:left="3447" w:hanging="360"/>
      </w:pPr>
      <w:rPr>
        <w:smallCaps w:val="0"/>
        <w:strike w:val="0"/>
        <w:shd w:val="clear" w:color="auto" w:fill="auto"/>
        <w:vertAlign w:val="baseline"/>
      </w:rPr>
    </w:lvl>
    <w:lvl w:ilvl="5">
      <w:start w:val="1"/>
      <w:numFmt w:val="lowerRoman"/>
      <w:lvlText w:val="%6."/>
      <w:lvlJc w:val="left"/>
      <w:pPr>
        <w:ind w:left="4167" w:hanging="313"/>
      </w:pPr>
      <w:rPr>
        <w:smallCaps w:val="0"/>
        <w:strike w:val="0"/>
        <w:shd w:val="clear" w:color="auto" w:fill="auto"/>
        <w:vertAlign w:val="baseline"/>
      </w:rPr>
    </w:lvl>
    <w:lvl w:ilvl="6">
      <w:start w:val="1"/>
      <w:numFmt w:val="decimal"/>
      <w:lvlText w:val="%7."/>
      <w:lvlJc w:val="left"/>
      <w:pPr>
        <w:ind w:left="4887" w:hanging="360"/>
      </w:pPr>
      <w:rPr>
        <w:smallCaps w:val="0"/>
        <w:strike w:val="0"/>
        <w:shd w:val="clear" w:color="auto" w:fill="auto"/>
        <w:vertAlign w:val="baseline"/>
      </w:rPr>
    </w:lvl>
    <w:lvl w:ilvl="7">
      <w:start w:val="1"/>
      <w:numFmt w:val="lowerLetter"/>
      <w:lvlText w:val="%8."/>
      <w:lvlJc w:val="left"/>
      <w:pPr>
        <w:ind w:left="5607" w:hanging="360"/>
      </w:pPr>
      <w:rPr>
        <w:smallCaps w:val="0"/>
        <w:strike w:val="0"/>
        <w:shd w:val="clear" w:color="auto" w:fill="auto"/>
        <w:vertAlign w:val="baseline"/>
      </w:rPr>
    </w:lvl>
    <w:lvl w:ilvl="8">
      <w:start w:val="1"/>
      <w:numFmt w:val="lowerRoman"/>
      <w:lvlText w:val="%9."/>
      <w:lvlJc w:val="left"/>
      <w:pPr>
        <w:ind w:left="6327" w:hanging="312"/>
      </w:pPr>
      <w:rPr>
        <w:smallCaps w:val="0"/>
        <w:strike w:val="0"/>
        <w:shd w:val="clear" w:color="auto" w:fill="auto"/>
        <w:vertAlign w:val="baseline"/>
      </w:rPr>
    </w:lvl>
  </w:abstractNum>
  <w:abstractNum w:abstractNumId="49">
    <w:nsid w:val="47EE3654"/>
    <w:multiLevelType w:val="multilevel"/>
    <w:tmpl w:val="CD6C4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51">
    <w:nsid w:val="4835529F"/>
    <w:multiLevelType w:val="multilevel"/>
    <w:tmpl w:val="89A02FA4"/>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52">
    <w:nsid w:val="49E17639"/>
    <w:multiLevelType w:val="multilevel"/>
    <w:tmpl w:val="6854DDE8"/>
    <w:lvl w:ilvl="0">
      <w:start w:val="1"/>
      <w:numFmt w:val="decimal"/>
      <w:lvlText w:val="%1."/>
      <w:lvlJc w:val="left"/>
      <w:pPr>
        <w:ind w:left="1103" w:hanging="253"/>
      </w:pPr>
      <w:rPr>
        <w:smallCaps w:val="0"/>
        <w:strike w:val="0"/>
        <w:shd w:val="clear" w:color="auto" w:fill="auto"/>
        <w:vertAlign w:val="baseline"/>
      </w:rPr>
    </w:lvl>
    <w:lvl w:ilvl="1">
      <w:start w:val="1"/>
      <w:numFmt w:val="decimal"/>
      <w:lvlText w:val="%2."/>
      <w:lvlJc w:val="left"/>
      <w:pPr>
        <w:ind w:left="1903" w:hanging="253"/>
      </w:pPr>
      <w:rPr>
        <w:smallCaps w:val="0"/>
        <w:strike w:val="0"/>
        <w:shd w:val="clear" w:color="auto" w:fill="auto"/>
        <w:vertAlign w:val="baseline"/>
      </w:rPr>
    </w:lvl>
    <w:lvl w:ilvl="2">
      <w:start w:val="1"/>
      <w:numFmt w:val="decimal"/>
      <w:lvlText w:val="%3."/>
      <w:lvlJc w:val="left"/>
      <w:pPr>
        <w:ind w:left="2703" w:hanging="253"/>
      </w:pPr>
      <w:rPr>
        <w:smallCaps w:val="0"/>
        <w:strike w:val="0"/>
        <w:shd w:val="clear" w:color="auto" w:fill="auto"/>
        <w:vertAlign w:val="baseline"/>
      </w:rPr>
    </w:lvl>
    <w:lvl w:ilvl="3">
      <w:start w:val="1"/>
      <w:numFmt w:val="decimal"/>
      <w:lvlText w:val="%4."/>
      <w:lvlJc w:val="left"/>
      <w:pPr>
        <w:ind w:left="3503" w:hanging="253"/>
      </w:pPr>
      <w:rPr>
        <w:smallCaps w:val="0"/>
        <w:strike w:val="0"/>
        <w:shd w:val="clear" w:color="auto" w:fill="auto"/>
        <w:vertAlign w:val="baseline"/>
      </w:rPr>
    </w:lvl>
    <w:lvl w:ilvl="4">
      <w:start w:val="1"/>
      <w:numFmt w:val="decimal"/>
      <w:lvlText w:val="%5."/>
      <w:lvlJc w:val="left"/>
      <w:pPr>
        <w:ind w:left="4303" w:hanging="253"/>
      </w:pPr>
      <w:rPr>
        <w:smallCaps w:val="0"/>
        <w:strike w:val="0"/>
        <w:shd w:val="clear" w:color="auto" w:fill="auto"/>
        <w:vertAlign w:val="baseline"/>
      </w:rPr>
    </w:lvl>
    <w:lvl w:ilvl="5">
      <w:start w:val="1"/>
      <w:numFmt w:val="decimal"/>
      <w:lvlText w:val="%6."/>
      <w:lvlJc w:val="left"/>
      <w:pPr>
        <w:ind w:left="5103" w:hanging="253"/>
      </w:pPr>
      <w:rPr>
        <w:smallCaps w:val="0"/>
        <w:strike w:val="0"/>
        <w:shd w:val="clear" w:color="auto" w:fill="auto"/>
        <w:vertAlign w:val="baseline"/>
      </w:rPr>
    </w:lvl>
    <w:lvl w:ilvl="6">
      <w:start w:val="1"/>
      <w:numFmt w:val="decimal"/>
      <w:lvlText w:val="%7."/>
      <w:lvlJc w:val="left"/>
      <w:pPr>
        <w:ind w:left="5903" w:hanging="253"/>
      </w:pPr>
      <w:rPr>
        <w:smallCaps w:val="0"/>
        <w:strike w:val="0"/>
        <w:shd w:val="clear" w:color="auto" w:fill="auto"/>
        <w:vertAlign w:val="baseline"/>
      </w:rPr>
    </w:lvl>
    <w:lvl w:ilvl="7">
      <w:start w:val="1"/>
      <w:numFmt w:val="decimal"/>
      <w:lvlText w:val="%8."/>
      <w:lvlJc w:val="left"/>
      <w:pPr>
        <w:ind w:left="6703" w:hanging="253"/>
      </w:pPr>
      <w:rPr>
        <w:smallCaps w:val="0"/>
        <w:strike w:val="0"/>
        <w:shd w:val="clear" w:color="auto" w:fill="auto"/>
        <w:vertAlign w:val="baseline"/>
      </w:rPr>
    </w:lvl>
    <w:lvl w:ilvl="8">
      <w:start w:val="1"/>
      <w:numFmt w:val="decimal"/>
      <w:lvlText w:val="%9."/>
      <w:lvlJc w:val="left"/>
      <w:pPr>
        <w:ind w:left="7503" w:hanging="253"/>
      </w:pPr>
      <w:rPr>
        <w:smallCaps w:val="0"/>
        <w:strike w:val="0"/>
        <w:shd w:val="clear" w:color="auto" w:fill="auto"/>
        <w:vertAlign w:val="baseline"/>
      </w:rPr>
    </w:lvl>
  </w:abstractNum>
  <w:abstractNum w:abstractNumId="53">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nsid w:val="4F757872"/>
    <w:multiLevelType w:val="multilevel"/>
    <w:tmpl w:val="118A2CCC"/>
    <w:lvl w:ilvl="0">
      <w:start w:val="1"/>
      <w:numFmt w:val="lowerLetter"/>
      <w:lvlText w:val="%1)"/>
      <w:lvlJc w:val="left"/>
      <w:pPr>
        <w:ind w:left="924" w:hanging="357"/>
      </w:pPr>
      <w:rPr>
        <w:smallCaps w:val="0"/>
        <w:strike w:val="0"/>
        <w:shd w:val="clear" w:color="auto" w:fill="auto"/>
        <w:vertAlign w:val="baseline"/>
      </w:rPr>
    </w:lvl>
    <w:lvl w:ilvl="1">
      <w:start w:val="1"/>
      <w:numFmt w:val="lowerLetter"/>
      <w:lvlText w:val="%2."/>
      <w:lvlJc w:val="left"/>
      <w:pPr>
        <w:ind w:left="1868" w:hanging="580"/>
      </w:pPr>
      <w:rPr>
        <w:smallCaps w:val="0"/>
        <w:strike w:val="0"/>
        <w:shd w:val="clear" w:color="auto" w:fill="auto"/>
        <w:vertAlign w:val="baseline"/>
      </w:rPr>
    </w:lvl>
    <w:lvl w:ilvl="2">
      <w:start w:val="1"/>
      <w:numFmt w:val="lowerRoman"/>
      <w:lvlText w:val="%3."/>
      <w:lvlJc w:val="left"/>
      <w:pPr>
        <w:ind w:left="2588" w:hanging="534"/>
      </w:pPr>
      <w:rPr>
        <w:smallCaps w:val="0"/>
        <w:strike w:val="0"/>
        <w:shd w:val="clear" w:color="auto" w:fill="auto"/>
        <w:vertAlign w:val="baseline"/>
      </w:rPr>
    </w:lvl>
    <w:lvl w:ilvl="3">
      <w:start w:val="1"/>
      <w:numFmt w:val="decimal"/>
      <w:lvlText w:val="%4."/>
      <w:lvlJc w:val="left"/>
      <w:pPr>
        <w:ind w:left="3308" w:hanging="581"/>
      </w:pPr>
      <w:rPr>
        <w:smallCaps w:val="0"/>
        <w:strike w:val="0"/>
        <w:shd w:val="clear" w:color="auto" w:fill="auto"/>
        <w:vertAlign w:val="baseline"/>
      </w:rPr>
    </w:lvl>
    <w:lvl w:ilvl="4">
      <w:start w:val="1"/>
      <w:numFmt w:val="lowerLetter"/>
      <w:lvlText w:val="%5."/>
      <w:lvlJc w:val="left"/>
      <w:pPr>
        <w:ind w:left="4028" w:hanging="581"/>
      </w:pPr>
      <w:rPr>
        <w:smallCaps w:val="0"/>
        <w:strike w:val="0"/>
        <w:shd w:val="clear" w:color="auto" w:fill="auto"/>
        <w:vertAlign w:val="baseline"/>
      </w:rPr>
    </w:lvl>
    <w:lvl w:ilvl="5">
      <w:start w:val="1"/>
      <w:numFmt w:val="lowerRoman"/>
      <w:lvlText w:val="%6."/>
      <w:lvlJc w:val="left"/>
      <w:pPr>
        <w:ind w:left="4748" w:hanging="534"/>
      </w:pPr>
      <w:rPr>
        <w:smallCaps w:val="0"/>
        <w:strike w:val="0"/>
        <w:shd w:val="clear" w:color="auto" w:fill="auto"/>
        <w:vertAlign w:val="baseline"/>
      </w:rPr>
    </w:lvl>
    <w:lvl w:ilvl="6">
      <w:start w:val="1"/>
      <w:numFmt w:val="decimal"/>
      <w:lvlText w:val="%7."/>
      <w:lvlJc w:val="left"/>
      <w:pPr>
        <w:ind w:left="5468" w:hanging="581"/>
      </w:pPr>
      <w:rPr>
        <w:smallCaps w:val="0"/>
        <w:strike w:val="0"/>
        <w:shd w:val="clear" w:color="auto" w:fill="auto"/>
        <w:vertAlign w:val="baseline"/>
      </w:rPr>
    </w:lvl>
    <w:lvl w:ilvl="7">
      <w:start w:val="1"/>
      <w:numFmt w:val="lowerLetter"/>
      <w:lvlText w:val="%8."/>
      <w:lvlJc w:val="left"/>
      <w:pPr>
        <w:ind w:left="6188" w:hanging="581"/>
      </w:pPr>
      <w:rPr>
        <w:smallCaps w:val="0"/>
        <w:strike w:val="0"/>
        <w:shd w:val="clear" w:color="auto" w:fill="auto"/>
        <w:vertAlign w:val="baseline"/>
      </w:rPr>
    </w:lvl>
    <w:lvl w:ilvl="8">
      <w:start w:val="1"/>
      <w:numFmt w:val="lowerRoman"/>
      <w:lvlText w:val="%9."/>
      <w:lvlJc w:val="left"/>
      <w:pPr>
        <w:ind w:left="6908" w:hanging="534"/>
      </w:pPr>
      <w:rPr>
        <w:smallCaps w:val="0"/>
        <w:strike w:val="0"/>
        <w:shd w:val="clear" w:color="auto" w:fill="auto"/>
        <w:vertAlign w:val="baseline"/>
      </w:rPr>
    </w:lvl>
  </w:abstractNum>
  <w:abstractNum w:abstractNumId="55">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56">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nsid w:val="5C6734DC"/>
    <w:multiLevelType w:val="multilevel"/>
    <w:tmpl w:val="546C2596"/>
    <w:lvl w:ilvl="0">
      <w:start w:val="1"/>
      <w:numFmt w:val="decimal"/>
      <w:lvlText w:val="%1."/>
      <w:lvlJc w:val="left"/>
      <w:pPr>
        <w:ind w:left="913" w:hanging="360"/>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6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2">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3">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4">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5">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6">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8">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9">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1">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3">
    <w:nsid w:val="77FB3B44"/>
    <w:multiLevelType w:val="multilevel"/>
    <w:tmpl w:val="AAD88B1E"/>
    <w:lvl w:ilvl="0">
      <w:start w:val="1"/>
      <w:numFmt w:val="decimal"/>
      <w:lvlText w:val="%1."/>
      <w:lvlJc w:val="left"/>
      <w:pPr>
        <w:ind w:left="924" w:hanging="357"/>
      </w:pPr>
      <w:rPr>
        <w:smallCaps w:val="0"/>
        <w:strike w:val="0"/>
        <w:shd w:val="clear" w:color="auto" w:fill="auto"/>
        <w:vertAlign w:val="baseline"/>
      </w:rPr>
    </w:lvl>
    <w:lvl w:ilvl="1">
      <w:start w:val="1"/>
      <w:numFmt w:val="lowerLetter"/>
      <w:lvlText w:val="%2."/>
      <w:lvlJc w:val="left"/>
      <w:pPr>
        <w:ind w:left="1868" w:hanging="580"/>
      </w:pPr>
      <w:rPr>
        <w:smallCaps w:val="0"/>
        <w:strike w:val="0"/>
        <w:shd w:val="clear" w:color="auto" w:fill="auto"/>
        <w:vertAlign w:val="baseline"/>
      </w:rPr>
    </w:lvl>
    <w:lvl w:ilvl="2">
      <w:start w:val="1"/>
      <w:numFmt w:val="lowerRoman"/>
      <w:lvlText w:val="%3."/>
      <w:lvlJc w:val="left"/>
      <w:pPr>
        <w:ind w:left="2588" w:hanging="534"/>
      </w:pPr>
      <w:rPr>
        <w:smallCaps w:val="0"/>
        <w:strike w:val="0"/>
        <w:shd w:val="clear" w:color="auto" w:fill="auto"/>
        <w:vertAlign w:val="baseline"/>
      </w:rPr>
    </w:lvl>
    <w:lvl w:ilvl="3">
      <w:start w:val="1"/>
      <w:numFmt w:val="decimal"/>
      <w:lvlText w:val="%4."/>
      <w:lvlJc w:val="left"/>
      <w:pPr>
        <w:ind w:left="3308" w:hanging="581"/>
      </w:pPr>
      <w:rPr>
        <w:smallCaps w:val="0"/>
        <w:strike w:val="0"/>
        <w:shd w:val="clear" w:color="auto" w:fill="auto"/>
        <w:vertAlign w:val="baseline"/>
      </w:rPr>
    </w:lvl>
    <w:lvl w:ilvl="4">
      <w:start w:val="1"/>
      <w:numFmt w:val="lowerLetter"/>
      <w:lvlText w:val="%5."/>
      <w:lvlJc w:val="left"/>
      <w:pPr>
        <w:ind w:left="4028" w:hanging="581"/>
      </w:pPr>
      <w:rPr>
        <w:smallCaps w:val="0"/>
        <w:strike w:val="0"/>
        <w:shd w:val="clear" w:color="auto" w:fill="auto"/>
        <w:vertAlign w:val="baseline"/>
      </w:rPr>
    </w:lvl>
    <w:lvl w:ilvl="5">
      <w:start w:val="1"/>
      <w:numFmt w:val="lowerRoman"/>
      <w:lvlText w:val="%6."/>
      <w:lvlJc w:val="left"/>
      <w:pPr>
        <w:ind w:left="4748" w:hanging="534"/>
      </w:pPr>
      <w:rPr>
        <w:smallCaps w:val="0"/>
        <w:strike w:val="0"/>
        <w:shd w:val="clear" w:color="auto" w:fill="auto"/>
        <w:vertAlign w:val="baseline"/>
      </w:rPr>
    </w:lvl>
    <w:lvl w:ilvl="6">
      <w:start w:val="1"/>
      <w:numFmt w:val="decimal"/>
      <w:lvlText w:val="%7."/>
      <w:lvlJc w:val="left"/>
      <w:pPr>
        <w:ind w:left="5468" w:hanging="581"/>
      </w:pPr>
      <w:rPr>
        <w:smallCaps w:val="0"/>
        <w:strike w:val="0"/>
        <w:shd w:val="clear" w:color="auto" w:fill="auto"/>
        <w:vertAlign w:val="baseline"/>
      </w:rPr>
    </w:lvl>
    <w:lvl w:ilvl="7">
      <w:start w:val="1"/>
      <w:numFmt w:val="lowerLetter"/>
      <w:lvlText w:val="%8."/>
      <w:lvlJc w:val="left"/>
      <w:pPr>
        <w:ind w:left="6188" w:hanging="581"/>
      </w:pPr>
      <w:rPr>
        <w:smallCaps w:val="0"/>
        <w:strike w:val="0"/>
        <w:shd w:val="clear" w:color="auto" w:fill="auto"/>
        <w:vertAlign w:val="baseline"/>
      </w:rPr>
    </w:lvl>
    <w:lvl w:ilvl="8">
      <w:start w:val="1"/>
      <w:numFmt w:val="lowerRoman"/>
      <w:lvlText w:val="%9."/>
      <w:lvlJc w:val="left"/>
      <w:pPr>
        <w:ind w:left="6908" w:hanging="534"/>
      </w:pPr>
      <w:rPr>
        <w:smallCaps w:val="0"/>
        <w:strike w:val="0"/>
        <w:shd w:val="clear" w:color="auto" w:fill="auto"/>
        <w:vertAlign w:val="baseline"/>
      </w:rPr>
    </w:lvl>
  </w:abstractNum>
  <w:abstractNum w:abstractNumId="74">
    <w:nsid w:val="7C423E95"/>
    <w:multiLevelType w:val="multilevel"/>
    <w:tmpl w:val="1EAABC3C"/>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75">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7">
    <w:nsid w:val="7CF10872"/>
    <w:multiLevelType w:val="multilevel"/>
    <w:tmpl w:val="CA7EEBE6"/>
    <w:lvl w:ilvl="0">
      <w:start w:val="1"/>
      <w:numFmt w:val="decimal"/>
      <w:lvlText w:val="%1."/>
      <w:lvlJc w:val="left"/>
      <w:pPr>
        <w:ind w:left="1288" w:hanging="359"/>
      </w:pPr>
      <w:rPr>
        <w:rFonts w:ascii="Century Gothic" w:eastAsia="Garamond" w:hAnsi="Century Gothic" w:cs="Garamond"/>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78">
    <w:nsid w:val="7DD36CE2"/>
    <w:multiLevelType w:val="multilevel"/>
    <w:tmpl w:val="BF30081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0">
    <w:nsid w:val="7F4F5796"/>
    <w:multiLevelType w:val="multilevel"/>
    <w:tmpl w:val="DCCE8176"/>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81">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78"/>
  </w:num>
  <w:num w:numId="2">
    <w:abstractNumId w:val="29"/>
  </w:num>
  <w:num w:numId="3">
    <w:abstractNumId w:val="4"/>
  </w:num>
  <w:num w:numId="4">
    <w:abstractNumId w:val="74"/>
  </w:num>
  <w:num w:numId="5">
    <w:abstractNumId w:val="73"/>
  </w:num>
  <w:num w:numId="6">
    <w:abstractNumId w:val="36"/>
  </w:num>
  <w:num w:numId="7">
    <w:abstractNumId w:val="54"/>
  </w:num>
  <w:num w:numId="8">
    <w:abstractNumId w:val="7"/>
  </w:num>
  <w:num w:numId="9">
    <w:abstractNumId w:val="25"/>
  </w:num>
  <w:num w:numId="10">
    <w:abstractNumId w:val="49"/>
  </w:num>
  <w:num w:numId="11">
    <w:abstractNumId w:val="37"/>
  </w:num>
  <w:num w:numId="12">
    <w:abstractNumId w:val="44"/>
  </w:num>
  <w:num w:numId="13">
    <w:abstractNumId w:val="80"/>
  </w:num>
  <w:num w:numId="14">
    <w:abstractNumId w:val="21"/>
  </w:num>
  <w:num w:numId="15">
    <w:abstractNumId w:val="30"/>
  </w:num>
  <w:num w:numId="16">
    <w:abstractNumId w:val="3"/>
  </w:num>
  <w:num w:numId="17">
    <w:abstractNumId w:val="18"/>
  </w:num>
  <w:num w:numId="18">
    <w:abstractNumId w:val="48"/>
  </w:num>
  <w:num w:numId="19">
    <w:abstractNumId w:val="52"/>
  </w:num>
  <w:num w:numId="20">
    <w:abstractNumId w:val="19"/>
  </w:num>
  <w:num w:numId="21">
    <w:abstractNumId w:val="38"/>
  </w:num>
  <w:num w:numId="22">
    <w:abstractNumId w:val="45"/>
  </w:num>
  <w:num w:numId="23">
    <w:abstractNumId w:val="6"/>
  </w:num>
  <w:num w:numId="24">
    <w:abstractNumId w:val="11"/>
  </w:num>
  <w:num w:numId="25">
    <w:abstractNumId w:val="2"/>
  </w:num>
  <w:num w:numId="26">
    <w:abstractNumId w:val="59"/>
  </w:num>
  <w:num w:numId="27">
    <w:abstractNumId w:val="56"/>
  </w:num>
  <w:num w:numId="28">
    <w:abstractNumId w:val="50"/>
  </w:num>
  <w:num w:numId="29">
    <w:abstractNumId w:val="55"/>
  </w:num>
  <w:num w:numId="30">
    <w:abstractNumId w:val="33"/>
  </w:num>
  <w:num w:numId="31">
    <w:abstractNumId w:val="46"/>
  </w:num>
  <w:num w:numId="32">
    <w:abstractNumId w:val="60"/>
  </w:num>
  <w:num w:numId="33">
    <w:abstractNumId w:val="72"/>
  </w:num>
  <w:num w:numId="34">
    <w:abstractNumId w:val="10"/>
  </w:num>
  <w:num w:numId="35">
    <w:abstractNumId w:val="13"/>
  </w:num>
  <w:num w:numId="36">
    <w:abstractNumId w:val="57"/>
  </w:num>
  <w:num w:numId="37">
    <w:abstractNumId w:val="62"/>
  </w:num>
  <w:num w:numId="38">
    <w:abstractNumId w:val="64"/>
  </w:num>
  <w:num w:numId="39">
    <w:abstractNumId w:val="61"/>
  </w:num>
  <w:num w:numId="40">
    <w:abstractNumId w:val="69"/>
  </w:num>
  <w:num w:numId="41">
    <w:abstractNumId w:val="58"/>
  </w:num>
  <w:num w:numId="42">
    <w:abstractNumId w:val="16"/>
  </w:num>
  <w:num w:numId="43">
    <w:abstractNumId w:val="12"/>
  </w:num>
  <w:num w:numId="44">
    <w:abstractNumId w:val="23"/>
  </w:num>
  <w:num w:numId="45">
    <w:abstractNumId w:val="24"/>
  </w:num>
  <w:num w:numId="46">
    <w:abstractNumId w:val="70"/>
  </w:num>
  <w:num w:numId="47">
    <w:abstractNumId w:val="41"/>
  </w:num>
  <w:num w:numId="48">
    <w:abstractNumId w:val="75"/>
  </w:num>
  <w:num w:numId="49">
    <w:abstractNumId w:val="32"/>
  </w:num>
  <w:num w:numId="50">
    <w:abstractNumId w:val="9"/>
  </w:num>
  <w:num w:numId="51">
    <w:abstractNumId w:val="5"/>
  </w:num>
  <w:num w:numId="52">
    <w:abstractNumId w:val="31"/>
  </w:num>
  <w:num w:numId="53">
    <w:abstractNumId w:val="66"/>
  </w:num>
  <w:num w:numId="54">
    <w:abstractNumId w:val="26"/>
  </w:num>
  <w:num w:numId="55">
    <w:abstractNumId w:val="79"/>
  </w:num>
  <w:num w:numId="56">
    <w:abstractNumId w:val="76"/>
  </w:num>
  <w:num w:numId="57">
    <w:abstractNumId w:val="42"/>
  </w:num>
  <w:num w:numId="58">
    <w:abstractNumId w:val="65"/>
  </w:num>
  <w:num w:numId="59">
    <w:abstractNumId w:val="17"/>
  </w:num>
  <w:num w:numId="60">
    <w:abstractNumId w:val="20"/>
  </w:num>
  <w:num w:numId="61">
    <w:abstractNumId w:val="67"/>
  </w:num>
  <w:num w:numId="62">
    <w:abstractNumId w:val="68"/>
  </w:num>
  <w:num w:numId="63">
    <w:abstractNumId w:val="81"/>
  </w:num>
  <w:num w:numId="64">
    <w:abstractNumId w:val="22"/>
  </w:num>
  <w:num w:numId="65">
    <w:abstractNumId w:val="34"/>
  </w:num>
  <w:num w:numId="66">
    <w:abstractNumId w:val="39"/>
  </w:num>
  <w:num w:numId="67">
    <w:abstractNumId w:val="47"/>
  </w:num>
  <w:num w:numId="68">
    <w:abstractNumId w:val="63"/>
  </w:num>
  <w:num w:numId="69">
    <w:abstractNumId w:val="53"/>
  </w:num>
  <w:num w:numId="70">
    <w:abstractNumId w:val="28"/>
  </w:num>
  <w:num w:numId="71">
    <w:abstractNumId w:val="35"/>
  </w:num>
  <w:num w:numId="72">
    <w:abstractNumId w:val="71"/>
  </w:num>
  <w:num w:numId="73">
    <w:abstractNumId w:val="15"/>
  </w:num>
  <w:num w:numId="74">
    <w:abstractNumId w:val="0"/>
  </w:num>
  <w:num w:numId="75">
    <w:abstractNumId w:val="8"/>
  </w:num>
  <w:num w:numId="76">
    <w:abstractNumId w:val="1"/>
  </w:num>
  <w:num w:numId="77">
    <w:abstractNumId w:val="14"/>
  </w:num>
  <w:num w:numId="78">
    <w:abstractNumId w:val="77"/>
  </w:num>
  <w:num w:numId="79">
    <w:abstractNumId w:val="51"/>
  </w:num>
  <w:num w:numId="80">
    <w:abstractNumId w:val="27"/>
  </w:num>
  <w:num w:numId="81">
    <w:abstractNumId w:val="43"/>
  </w:num>
  <w:num w:numId="82">
    <w:abstractNumId w:val="4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9E"/>
    <w:rsid w:val="00096249"/>
    <w:rsid w:val="000C78B1"/>
    <w:rsid w:val="001263EB"/>
    <w:rsid w:val="00197309"/>
    <w:rsid w:val="001D1B91"/>
    <w:rsid w:val="0028155B"/>
    <w:rsid w:val="00366170"/>
    <w:rsid w:val="003756B1"/>
    <w:rsid w:val="0041410F"/>
    <w:rsid w:val="004274E4"/>
    <w:rsid w:val="00470A45"/>
    <w:rsid w:val="0050290F"/>
    <w:rsid w:val="00544E6E"/>
    <w:rsid w:val="00567FF2"/>
    <w:rsid w:val="00587516"/>
    <w:rsid w:val="005B4C1C"/>
    <w:rsid w:val="005D4CEB"/>
    <w:rsid w:val="00642474"/>
    <w:rsid w:val="006800D0"/>
    <w:rsid w:val="00806199"/>
    <w:rsid w:val="008941CF"/>
    <w:rsid w:val="008955C9"/>
    <w:rsid w:val="00A6080F"/>
    <w:rsid w:val="00A6736C"/>
    <w:rsid w:val="00AC6E97"/>
    <w:rsid w:val="00B04545"/>
    <w:rsid w:val="00B42E60"/>
    <w:rsid w:val="00B8709E"/>
    <w:rsid w:val="00BA77EF"/>
    <w:rsid w:val="00CB1679"/>
    <w:rsid w:val="00CB7C86"/>
    <w:rsid w:val="00CD7B09"/>
    <w:rsid w:val="00D81420"/>
    <w:rsid w:val="00E61AAD"/>
    <w:rsid w:val="00E61C26"/>
    <w:rsid w:val="00E85348"/>
    <w:rsid w:val="00EC38F4"/>
    <w:rsid w:val="00FD7B5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AC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709E"/>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E85348"/>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E85348"/>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E85348"/>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E85348"/>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E85348"/>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E8534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0"/>
    <w:qFormat/>
    <w:rsid w:val="00B8709E"/>
    <w:rPr>
      <w:rFonts w:ascii="Times New Roman" w:eastAsia="Times New Roman" w:hAnsi="Times New Roman" w:cs="Times New Roman"/>
      <w:lang w:eastAsia="es-ES_tradnl"/>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B04545"/>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B04545"/>
    <w:rPr>
      <w:rFonts w:ascii="Times New Roman" w:eastAsia="Times New Roman" w:hAnsi="Times New Roman" w:cs="Times New Roman"/>
      <w:lang w:eastAsia="es-MX"/>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B04545"/>
    <w:rPr>
      <w:vertAlign w:val="superscript"/>
    </w:rPr>
  </w:style>
  <w:style w:type="character" w:customStyle="1" w:styleId="Ttulo1Car">
    <w:name w:val="Título 1 Car"/>
    <w:basedOn w:val="Fuentedeprrafopredeter"/>
    <w:link w:val="Ttulo1"/>
    <w:uiPriority w:val="9"/>
    <w:rsid w:val="00E85348"/>
    <w:rPr>
      <w:rFonts w:ascii="Times New Roman" w:eastAsia="Times New Roman" w:hAnsi="Times New Roman" w:cs="Times New Roman"/>
      <w:b/>
      <w:sz w:val="48"/>
      <w:szCs w:val="48"/>
      <w:lang w:eastAsia="es-MX"/>
    </w:rPr>
  </w:style>
  <w:style w:type="character" w:customStyle="1" w:styleId="Ttulo2Car">
    <w:name w:val="Título 2 Car"/>
    <w:basedOn w:val="Fuentedeprrafopredeter"/>
    <w:link w:val="Ttulo2"/>
    <w:uiPriority w:val="9"/>
    <w:semiHidden/>
    <w:rsid w:val="00E85348"/>
    <w:rPr>
      <w:rFonts w:ascii="Times New Roman" w:eastAsia="Times New Roman" w:hAnsi="Times New Roman" w:cs="Times New Roman"/>
      <w:b/>
      <w:sz w:val="36"/>
      <w:szCs w:val="36"/>
      <w:lang w:eastAsia="es-MX"/>
    </w:rPr>
  </w:style>
  <w:style w:type="character" w:customStyle="1" w:styleId="Ttulo3Car">
    <w:name w:val="Título 3 Car"/>
    <w:basedOn w:val="Fuentedeprrafopredeter"/>
    <w:link w:val="Ttulo3"/>
    <w:uiPriority w:val="9"/>
    <w:semiHidden/>
    <w:rsid w:val="00E85348"/>
    <w:rPr>
      <w:rFonts w:ascii="Times New Roman" w:eastAsia="Times New Roman" w:hAnsi="Times New Roman" w:cs="Times New Roman"/>
      <w:b/>
      <w:sz w:val="28"/>
      <w:szCs w:val="28"/>
      <w:lang w:eastAsia="es-MX"/>
    </w:rPr>
  </w:style>
  <w:style w:type="character" w:customStyle="1" w:styleId="Ttulo4Car">
    <w:name w:val="Título 4 Car"/>
    <w:basedOn w:val="Fuentedeprrafopredeter"/>
    <w:link w:val="Ttulo4"/>
    <w:uiPriority w:val="9"/>
    <w:semiHidden/>
    <w:rsid w:val="00E85348"/>
    <w:rPr>
      <w:rFonts w:ascii="Times New Roman" w:eastAsia="Times New Roman" w:hAnsi="Times New Roman" w:cs="Times New Roman"/>
      <w:b/>
      <w:lang w:eastAsia="es-MX"/>
    </w:rPr>
  </w:style>
  <w:style w:type="character" w:customStyle="1" w:styleId="Ttulo5Car">
    <w:name w:val="Título 5 Car"/>
    <w:basedOn w:val="Fuentedeprrafopredeter"/>
    <w:link w:val="Ttulo5"/>
    <w:uiPriority w:val="9"/>
    <w:semiHidden/>
    <w:rsid w:val="00E85348"/>
    <w:rPr>
      <w:rFonts w:ascii="Times New Roman" w:eastAsia="Times New Roman" w:hAnsi="Times New Roman" w:cs="Times New Roman"/>
      <w:b/>
      <w:sz w:val="22"/>
      <w:szCs w:val="22"/>
      <w:lang w:eastAsia="es-MX"/>
    </w:rPr>
  </w:style>
  <w:style w:type="character" w:customStyle="1" w:styleId="Ttulo6Car">
    <w:name w:val="Título 6 Car"/>
    <w:basedOn w:val="Fuentedeprrafopredeter"/>
    <w:link w:val="Ttulo6"/>
    <w:uiPriority w:val="9"/>
    <w:semiHidden/>
    <w:rsid w:val="00E85348"/>
    <w:rPr>
      <w:rFonts w:ascii="Times New Roman" w:eastAsia="Times New Roman" w:hAnsi="Times New Roman" w:cs="Times New Roman"/>
      <w:b/>
      <w:sz w:val="20"/>
      <w:szCs w:val="20"/>
      <w:lang w:eastAsia="es-MX"/>
    </w:rPr>
  </w:style>
  <w:style w:type="table" w:customStyle="1" w:styleId="TableNormal">
    <w:name w:val="Table Normal"/>
    <w:rsid w:val="00E85348"/>
    <w:rPr>
      <w:rFonts w:ascii="Times New Roman" w:eastAsia="Times New Roman" w:hAnsi="Times New Roman" w:cs="Times New Roman"/>
      <w:lang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E85348"/>
    <w:pPr>
      <w:keepNext/>
      <w:keepLines/>
      <w:spacing w:before="480" w:after="120"/>
    </w:pPr>
    <w:rPr>
      <w:b/>
      <w:sz w:val="72"/>
      <w:szCs w:val="72"/>
    </w:rPr>
  </w:style>
  <w:style w:type="character" w:customStyle="1" w:styleId="PuestoCar">
    <w:name w:val="Puesto Car"/>
    <w:basedOn w:val="Fuentedeprrafopredeter"/>
    <w:link w:val="Puesto"/>
    <w:uiPriority w:val="10"/>
    <w:rsid w:val="00E85348"/>
    <w:rPr>
      <w:rFonts w:ascii="Times New Roman" w:eastAsia="Times New Roman" w:hAnsi="Times New Roman" w:cs="Times New Roman"/>
      <w:b/>
      <w:sz w:val="72"/>
      <w:szCs w:val="72"/>
      <w:lang w:eastAsia="es-MX"/>
    </w:rPr>
  </w:style>
  <w:style w:type="paragraph" w:styleId="Subttulo">
    <w:name w:val="Subtitle"/>
    <w:basedOn w:val="Normal"/>
    <w:next w:val="Normal"/>
    <w:link w:val="SubttuloCar"/>
    <w:uiPriority w:val="11"/>
    <w:qFormat/>
    <w:rsid w:val="00E85348"/>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E85348"/>
    <w:rPr>
      <w:rFonts w:ascii="Georgia" w:eastAsia="Georgia" w:hAnsi="Georgia" w:cs="Georgia"/>
      <w:i/>
      <w:color w:val="666666"/>
      <w:sz w:val="48"/>
      <w:szCs w:val="48"/>
      <w:lang w:eastAsia="es-MX"/>
    </w:rPr>
  </w:style>
  <w:style w:type="character" w:styleId="Refdecomentario">
    <w:name w:val="annotation reference"/>
    <w:basedOn w:val="Fuentedeprrafopredeter"/>
    <w:uiPriority w:val="99"/>
    <w:semiHidden/>
    <w:unhideWhenUsed/>
    <w:rsid w:val="00470A45"/>
    <w:rPr>
      <w:sz w:val="18"/>
      <w:szCs w:val="18"/>
    </w:rPr>
  </w:style>
  <w:style w:type="paragraph" w:styleId="Textocomentario">
    <w:name w:val="annotation text"/>
    <w:basedOn w:val="Normal"/>
    <w:link w:val="TextocomentarioCar"/>
    <w:uiPriority w:val="99"/>
    <w:unhideWhenUsed/>
    <w:rsid w:val="00470A45"/>
  </w:style>
  <w:style w:type="character" w:customStyle="1" w:styleId="TextocomentarioCar">
    <w:name w:val="Texto comentario Car"/>
    <w:basedOn w:val="Fuentedeprrafopredeter"/>
    <w:link w:val="Textocomentario"/>
    <w:uiPriority w:val="99"/>
    <w:rsid w:val="00470A45"/>
    <w:rPr>
      <w:rFonts w:ascii="Times New Roman" w:eastAsia="Times New Roman" w:hAnsi="Times New Roman" w:cs="Times New Roman"/>
      <w:lang w:eastAsia="es-MX"/>
    </w:rPr>
  </w:style>
  <w:style w:type="paragraph" w:styleId="Asuntodelcomentario">
    <w:name w:val="annotation subject"/>
    <w:basedOn w:val="Textocomentario"/>
    <w:next w:val="Textocomentario"/>
    <w:link w:val="AsuntodelcomentarioCar"/>
    <w:uiPriority w:val="99"/>
    <w:semiHidden/>
    <w:unhideWhenUsed/>
    <w:rsid w:val="00470A45"/>
    <w:rPr>
      <w:b/>
      <w:bCs/>
      <w:sz w:val="20"/>
      <w:szCs w:val="20"/>
    </w:rPr>
  </w:style>
  <w:style w:type="character" w:customStyle="1" w:styleId="AsuntodelcomentarioCar">
    <w:name w:val="Asunto del comentario Car"/>
    <w:basedOn w:val="TextocomentarioCar"/>
    <w:link w:val="Asuntodelcomentario"/>
    <w:uiPriority w:val="99"/>
    <w:semiHidden/>
    <w:rsid w:val="00470A45"/>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470A45"/>
    <w:rPr>
      <w:sz w:val="18"/>
      <w:szCs w:val="18"/>
    </w:rPr>
  </w:style>
  <w:style w:type="character" w:customStyle="1" w:styleId="TextodegloboCar">
    <w:name w:val="Texto de globo Car"/>
    <w:basedOn w:val="Fuentedeprrafopredeter"/>
    <w:link w:val="Textodeglobo"/>
    <w:uiPriority w:val="99"/>
    <w:semiHidden/>
    <w:rsid w:val="00470A45"/>
    <w:rPr>
      <w:rFonts w:ascii="Times New Roman" w:eastAsia="Times New Roman" w:hAnsi="Times New Roman" w:cs="Times New Roman"/>
      <w:sz w:val="18"/>
      <w:szCs w:val="18"/>
      <w:lang w:eastAsia="es-MX"/>
    </w:rPr>
  </w:style>
  <w:style w:type="paragraph" w:styleId="Encabezado">
    <w:name w:val="header"/>
    <w:basedOn w:val="Normal"/>
    <w:link w:val="EncabezadoCar"/>
    <w:uiPriority w:val="99"/>
    <w:unhideWhenUsed/>
    <w:rsid w:val="00544E6E"/>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544E6E"/>
    <w:rPr>
      <w:sz w:val="22"/>
      <w:szCs w:val="22"/>
      <w:lang w:val="es-ES"/>
    </w:rPr>
  </w:style>
  <w:style w:type="table" w:styleId="Tablaconcuadrcula">
    <w:name w:val="Table Grid"/>
    <w:basedOn w:val="Tablanormal"/>
    <w:uiPriority w:val="39"/>
    <w:rsid w:val="00544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
    <w:basedOn w:val="Normal"/>
    <w:link w:val="PrrafodelistaCar"/>
    <w:uiPriority w:val="34"/>
    <w:qFormat/>
    <w:rsid w:val="00B42E60"/>
    <w:pPr>
      <w:spacing w:line="276" w:lineRule="auto"/>
      <w:ind w:left="720"/>
      <w:contextualSpacing/>
    </w:pPr>
    <w:rPr>
      <w:rFonts w:ascii="Arial" w:eastAsia="Arial" w:hAnsi="Arial" w:cs="Arial"/>
      <w:sz w:val="22"/>
      <w:szCs w:val="22"/>
      <w:lang w:val="es" w:eastAsia="es-ES_tradnl"/>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B42E60"/>
    <w:rPr>
      <w:rFonts w:ascii="Arial" w:eastAsia="Arial" w:hAnsi="Arial" w:cs="Arial"/>
      <w:sz w:val="22"/>
      <w:szCs w:val="22"/>
      <w:lang w:val="es" w:eastAsia="es-ES_tradnl"/>
    </w:rPr>
  </w:style>
  <w:style w:type="paragraph" w:customStyle="1" w:styleId="t-tulos">
    <w:name w:val="t-tulos"/>
    <w:basedOn w:val="Normal"/>
    <w:rsid w:val="00CB1679"/>
    <w:pPr>
      <w:spacing w:before="100" w:beforeAutospacing="1" w:after="100" w:afterAutospacing="1"/>
    </w:pPr>
    <w:rPr>
      <w:lang w:val="es-CO" w:eastAsia="es-CO"/>
    </w:rPr>
  </w:style>
  <w:style w:type="paragraph" w:customStyle="1" w:styleId="enunciados">
    <w:name w:val="enunciados"/>
    <w:basedOn w:val="Normal"/>
    <w:rsid w:val="00CB1679"/>
    <w:pPr>
      <w:spacing w:before="100" w:beforeAutospacing="1" w:after="100" w:afterAutospacing="1"/>
    </w:pPr>
    <w:rPr>
      <w:lang w:val="es-CO" w:eastAsia="es-CO"/>
    </w:rPr>
  </w:style>
  <w:style w:type="paragraph" w:customStyle="1" w:styleId="estlos-gacetasp-rrafos">
    <w:name w:val="estlos-gacetas_p-rrafos"/>
    <w:basedOn w:val="Normal"/>
    <w:rsid w:val="00CB1679"/>
    <w:pPr>
      <w:spacing w:before="100" w:beforeAutospacing="1" w:after="100" w:afterAutospacing="1"/>
    </w:pPr>
    <w:rPr>
      <w:lang w:val="es-CO" w:eastAsia="es-CO"/>
    </w:rPr>
  </w:style>
  <w:style w:type="character" w:customStyle="1" w:styleId="charoverride-7">
    <w:name w:val="charoverride-7"/>
    <w:basedOn w:val="Fuentedeprrafopredeter"/>
    <w:rsid w:val="00CB1679"/>
  </w:style>
  <w:style w:type="character" w:customStyle="1" w:styleId="charoverride-8">
    <w:name w:val="charoverride-8"/>
    <w:basedOn w:val="Fuentedeprrafopredeter"/>
    <w:rsid w:val="00CB1679"/>
  </w:style>
  <w:style w:type="paragraph" w:customStyle="1" w:styleId="estlos-gacetasp-rrafos---tabulado">
    <w:name w:val="estlos-gacetas_p-rrafos---tabulado"/>
    <w:basedOn w:val="Normal"/>
    <w:rsid w:val="00CB1679"/>
    <w:pPr>
      <w:spacing w:before="100" w:beforeAutospacing="1" w:after="100" w:afterAutospacing="1"/>
    </w:pPr>
    <w:rPr>
      <w:lang w:val="es-CO" w:eastAsia="es-CO"/>
    </w:rPr>
  </w:style>
  <w:style w:type="character" w:customStyle="1" w:styleId="charoverride-9">
    <w:name w:val="charoverride-9"/>
    <w:basedOn w:val="Fuentedeprrafopredeter"/>
    <w:rsid w:val="00CB1679"/>
  </w:style>
  <w:style w:type="paragraph" w:customStyle="1" w:styleId="tablastitulo-tabla">
    <w:name w:val="tablas_titulo-tabla"/>
    <w:basedOn w:val="Normal"/>
    <w:rsid w:val="00CB1679"/>
    <w:pPr>
      <w:spacing w:before="100" w:beforeAutospacing="1" w:after="100" w:afterAutospacing="1"/>
    </w:pPr>
    <w:rPr>
      <w:lang w:val="es-CO" w:eastAsia="es-CO"/>
    </w:rPr>
  </w:style>
  <w:style w:type="paragraph" w:customStyle="1" w:styleId="tablastexto-tabla">
    <w:name w:val="tablas_texto-tabla"/>
    <w:basedOn w:val="Normal"/>
    <w:rsid w:val="00CB1679"/>
    <w:pPr>
      <w:spacing w:before="100" w:beforeAutospacing="1" w:after="100" w:afterAutospacing="1"/>
    </w:pPr>
    <w:rPr>
      <w:lang w:val="es-CO" w:eastAsia="es-CO"/>
    </w:rPr>
  </w:style>
  <w:style w:type="character" w:customStyle="1" w:styleId="charoverride-10">
    <w:name w:val="charoverride-10"/>
    <w:basedOn w:val="Fuentedeprrafopredeter"/>
    <w:rsid w:val="00CB1679"/>
  </w:style>
  <w:style w:type="character" w:styleId="Hipervnculo">
    <w:name w:val="Hyperlink"/>
    <w:basedOn w:val="Fuentedeprrafopredeter"/>
    <w:unhideWhenUsed/>
    <w:rsid w:val="00CB1679"/>
    <w:rPr>
      <w:color w:val="0000FF"/>
      <w:u w:val="single"/>
    </w:rPr>
  </w:style>
  <w:style w:type="character" w:customStyle="1" w:styleId="charoverride-11">
    <w:name w:val="charoverride-11"/>
    <w:basedOn w:val="Fuentedeprrafopredeter"/>
    <w:rsid w:val="00CB1679"/>
  </w:style>
  <w:style w:type="character" w:customStyle="1" w:styleId="charoverride-12">
    <w:name w:val="charoverride-12"/>
    <w:basedOn w:val="Fuentedeprrafopredeter"/>
    <w:rsid w:val="00CB1679"/>
  </w:style>
  <w:style w:type="character" w:customStyle="1" w:styleId="charoverride-13">
    <w:name w:val="charoverride-13"/>
    <w:basedOn w:val="Fuentedeprrafopredeter"/>
    <w:rsid w:val="00CB1679"/>
  </w:style>
  <w:style w:type="character" w:customStyle="1" w:styleId="charoverride-14">
    <w:name w:val="charoverride-14"/>
    <w:basedOn w:val="Fuentedeprrafopredeter"/>
    <w:rsid w:val="00CB1679"/>
  </w:style>
  <w:style w:type="paragraph" w:customStyle="1" w:styleId="estlos-gacetaspies-de-p-ginas">
    <w:name w:val="estlos-gacetas_pies-de-p-ginas"/>
    <w:basedOn w:val="Normal"/>
    <w:rsid w:val="00CB1679"/>
    <w:pPr>
      <w:spacing w:before="100" w:beforeAutospacing="1" w:after="100" w:afterAutospacing="1"/>
    </w:pPr>
    <w:rPr>
      <w:lang w:val="es-CO" w:eastAsia="es-CO"/>
    </w:rPr>
  </w:style>
  <w:style w:type="character" w:customStyle="1" w:styleId="superindice">
    <w:name w:val="superindice"/>
    <w:basedOn w:val="Fuentedeprrafopredeter"/>
    <w:rsid w:val="00CB1679"/>
  </w:style>
  <w:style w:type="character" w:customStyle="1" w:styleId="Hipervnculo1">
    <w:name w:val="Hipervínculo1"/>
    <w:basedOn w:val="Fuentedeprrafopredeter"/>
    <w:rsid w:val="00CB1679"/>
  </w:style>
  <w:style w:type="paragraph" w:customStyle="1" w:styleId="Default">
    <w:name w:val="Default"/>
    <w:rsid w:val="00CB1679"/>
    <w:pPr>
      <w:autoSpaceDE w:val="0"/>
      <w:autoSpaceDN w:val="0"/>
      <w:adjustRightInd w:val="0"/>
    </w:pPr>
    <w:rPr>
      <w:rFonts w:ascii="BFHUIW+TimesNewRomanPS-BoldMT" w:hAnsi="BFHUIW+TimesNewRomanPS-BoldMT" w:cs="BFHUIW+TimesNewRomanPS-BoldMT"/>
      <w:color w:val="000000"/>
      <w:lang w:val="en-US"/>
    </w:rPr>
  </w:style>
  <w:style w:type="paragraph" w:styleId="Piedepgina">
    <w:name w:val="footer"/>
    <w:basedOn w:val="Normal"/>
    <w:link w:val="PiedepginaCar"/>
    <w:uiPriority w:val="99"/>
    <w:unhideWhenUsed/>
    <w:rsid w:val="00CB1679"/>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CB1679"/>
    <w:rPr>
      <w:sz w:val="22"/>
      <w:szCs w:val="22"/>
      <w:lang w:val="es-CO"/>
    </w:rPr>
  </w:style>
  <w:style w:type="paragraph" w:styleId="Textoindependiente">
    <w:name w:val="Body Text"/>
    <w:basedOn w:val="Normal"/>
    <w:link w:val="TextoindependienteCar"/>
    <w:uiPriority w:val="1"/>
    <w:qFormat/>
    <w:rsid w:val="00CB1679"/>
    <w:pPr>
      <w:widowControl w:val="0"/>
      <w:autoSpaceDE w:val="0"/>
      <w:autoSpaceDN w:val="0"/>
    </w:pPr>
    <w:rPr>
      <w:lang w:val="es-ES" w:eastAsia="es-ES" w:bidi="es-ES"/>
    </w:rPr>
  </w:style>
  <w:style w:type="character" w:customStyle="1" w:styleId="TextoindependienteCar">
    <w:name w:val="Texto independiente Car"/>
    <w:basedOn w:val="Fuentedeprrafopredeter"/>
    <w:link w:val="Textoindependiente"/>
    <w:uiPriority w:val="1"/>
    <w:rsid w:val="00CB1679"/>
    <w:rPr>
      <w:rFonts w:ascii="Times New Roman" w:eastAsia="Times New Roman" w:hAnsi="Times New Roman" w:cs="Times New Roman"/>
      <w:lang w:val="es-ES" w:eastAsia="es-ES" w:bidi="es-ES"/>
    </w:rPr>
  </w:style>
  <w:style w:type="paragraph" w:customStyle="1" w:styleId="Cuerpo">
    <w:name w:val="Cuerpo"/>
    <w:rsid w:val="00CB1679"/>
    <w:pPr>
      <w:pBdr>
        <w:top w:val="nil"/>
        <w:left w:val="nil"/>
        <w:bottom w:val="nil"/>
        <w:right w:val="nil"/>
        <w:between w:val="nil"/>
        <w:bar w:val="nil"/>
      </w:pBdr>
    </w:pPr>
    <w:rPr>
      <w:rFonts w:ascii="Times New Roman" w:eastAsia="Times New Roman" w:hAnsi="Times New Roman" w:cs="Times New Roman"/>
      <w:color w:val="000000"/>
      <w:u w:color="000000"/>
      <w:bdr w:val="nil"/>
      <w:lang w:val="es-CO" w:eastAsia="es-CO"/>
    </w:rPr>
  </w:style>
  <w:style w:type="paragraph" w:styleId="Sinespaciado">
    <w:name w:val="No Spacing"/>
    <w:uiPriority w:val="1"/>
    <w:qFormat/>
    <w:rsid w:val="00CB1679"/>
    <w:rPr>
      <w:sz w:val="22"/>
      <w:szCs w:val="22"/>
      <w:lang w:val="es-CO"/>
    </w:rPr>
  </w:style>
  <w:style w:type="paragraph" w:styleId="NormalWeb">
    <w:name w:val="Normal (Web)"/>
    <w:basedOn w:val="Normal"/>
    <w:uiPriority w:val="99"/>
    <w:unhideWhenUsed/>
    <w:rsid w:val="00CB1679"/>
    <w:pPr>
      <w:spacing w:before="100" w:beforeAutospacing="1" w:after="100" w:afterAutospacing="1"/>
    </w:pPr>
    <w:rPr>
      <w:lang w:val="es-CO" w:eastAsia="es-CO"/>
    </w:rPr>
  </w:style>
  <w:style w:type="character" w:styleId="nfasis">
    <w:name w:val="Emphasis"/>
    <w:basedOn w:val="Fuentedeprrafopredeter"/>
    <w:uiPriority w:val="20"/>
    <w:qFormat/>
    <w:rsid w:val="00CB1679"/>
    <w:rPr>
      <w:i/>
      <w:iCs/>
    </w:rPr>
  </w:style>
  <w:style w:type="character" w:customStyle="1" w:styleId="A3">
    <w:name w:val="A3"/>
    <w:uiPriority w:val="99"/>
    <w:rsid w:val="00CB1679"/>
    <w:rPr>
      <w:color w:val="080808"/>
    </w:rPr>
  </w:style>
  <w:style w:type="paragraph" w:customStyle="1" w:styleId="Pa32">
    <w:name w:val="Pa32"/>
    <w:basedOn w:val="Normal"/>
    <w:next w:val="Normal"/>
    <w:uiPriority w:val="99"/>
    <w:rsid w:val="00CB1679"/>
    <w:pPr>
      <w:widowControl w:val="0"/>
      <w:autoSpaceDE w:val="0"/>
      <w:autoSpaceDN w:val="0"/>
      <w:adjustRightInd w:val="0"/>
      <w:spacing w:line="231" w:lineRule="atLeast"/>
    </w:pPr>
    <w:rPr>
      <w:rFonts w:eastAsiaTheme="minorHAnsi"/>
      <w:lang w:val="es-ES" w:eastAsia="en-US"/>
    </w:rPr>
  </w:style>
  <w:style w:type="paragraph" w:customStyle="1" w:styleId="Pa34">
    <w:name w:val="Pa34"/>
    <w:basedOn w:val="Normal"/>
    <w:next w:val="Normal"/>
    <w:uiPriority w:val="99"/>
    <w:rsid w:val="00CB1679"/>
    <w:pPr>
      <w:widowControl w:val="0"/>
      <w:autoSpaceDE w:val="0"/>
      <w:autoSpaceDN w:val="0"/>
      <w:adjustRightInd w:val="0"/>
      <w:spacing w:line="231" w:lineRule="atLeast"/>
    </w:pPr>
    <w:rPr>
      <w:rFonts w:eastAsiaTheme="minorHAnsi"/>
      <w:lang w:val="es-ES" w:eastAsia="en-US"/>
    </w:rPr>
  </w:style>
  <w:style w:type="paragraph" w:customStyle="1" w:styleId="Pa35">
    <w:name w:val="Pa35"/>
    <w:basedOn w:val="Normal"/>
    <w:next w:val="Normal"/>
    <w:uiPriority w:val="99"/>
    <w:rsid w:val="00CB1679"/>
    <w:pPr>
      <w:widowControl w:val="0"/>
      <w:autoSpaceDE w:val="0"/>
      <w:autoSpaceDN w:val="0"/>
      <w:adjustRightInd w:val="0"/>
      <w:spacing w:line="231" w:lineRule="atLeast"/>
    </w:pPr>
    <w:rPr>
      <w:rFonts w:eastAsiaTheme="minorHAnsi"/>
      <w:lang w:val="es-ES" w:eastAsia="en-US"/>
    </w:rPr>
  </w:style>
  <w:style w:type="paragraph" w:customStyle="1" w:styleId="Encabezadoypie">
    <w:name w:val="Encabezado y pie"/>
    <w:rsid w:val="00CB1679"/>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s-CO" w:eastAsia="es-CO"/>
      <w14:textOutline w14:w="0" w14:cap="flat" w14:cmpd="sng" w14:algn="ctr">
        <w14:noFill/>
        <w14:prstDash w14:val="solid"/>
        <w14:bevel/>
      </w14:textOutline>
    </w:rPr>
  </w:style>
  <w:style w:type="character" w:customStyle="1" w:styleId="Ninguno">
    <w:name w:val="Ninguno"/>
    <w:rsid w:val="00CB1679"/>
  </w:style>
  <w:style w:type="numbering" w:customStyle="1" w:styleId="Estiloimportado1">
    <w:name w:val="Estilo importado 1"/>
    <w:rsid w:val="00CB1679"/>
    <w:pPr>
      <w:numPr>
        <w:numId w:val="27"/>
      </w:numPr>
    </w:pPr>
  </w:style>
  <w:style w:type="character" w:customStyle="1" w:styleId="Hyperlink0">
    <w:name w:val="Hyperlink.0"/>
    <w:basedOn w:val="Ninguno"/>
    <w:rsid w:val="00CB1679"/>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CB1679"/>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CB1679"/>
    <w:pPr>
      <w:numPr>
        <w:numId w:val="28"/>
      </w:numPr>
    </w:pPr>
  </w:style>
  <w:style w:type="numbering" w:customStyle="1" w:styleId="Estiloimportado3">
    <w:name w:val="Estilo importado 3"/>
    <w:rsid w:val="00CB1679"/>
    <w:pPr>
      <w:numPr>
        <w:numId w:val="29"/>
      </w:numPr>
    </w:pPr>
  </w:style>
  <w:style w:type="numbering" w:customStyle="1" w:styleId="Estiloimportado4">
    <w:name w:val="Estilo importado 4"/>
    <w:rsid w:val="00CB1679"/>
    <w:pPr>
      <w:numPr>
        <w:numId w:val="30"/>
      </w:numPr>
    </w:pPr>
  </w:style>
  <w:style w:type="numbering" w:customStyle="1" w:styleId="Estiloimportado8">
    <w:name w:val="Estilo importado 8"/>
    <w:rsid w:val="00CB1679"/>
    <w:pPr>
      <w:numPr>
        <w:numId w:val="31"/>
      </w:numPr>
    </w:pPr>
  </w:style>
  <w:style w:type="numbering" w:customStyle="1" w:styleId="Estiloimportado9">
    <w:name w:val="Estilo importado 9"/>
    <w:rsid w:val="00CB1679"/>
    <w:pPr>
      <w:numPr>
        <w:numId w:val="32"/>
      </w:numPr>
    </w:pPr>
  </w:style>
  <w:style w:type="numbering" w:customStyle="1" w:styleId="Estiloimportado10">
    <w:name w:val="Estilo importado 10"/>
    <w:rsid w:val="00CB1679"/>
    <w:pPr>
      <w:numPr>
        <w:numId w:val="33"/>
      </w:numPr>
    </w:pPr>
  </w:style>
  <w:style w:type="numbering" w:customStyle="1" w:styleId="Estiloimportado11">
    <w:name w:val="Estilo importado 11"/>
    <w:rsid w:val="00CB1679"/>
    <w:pPr>
      <w:numPr>
        <w:numId w:val="34"/>
      </w:numPr>
    </w:pPr>
  </w:style>
  <w:style w:type="numbering" w:customStyle="1" w:styleId="Estiloimportado12">
    <w:name w:val="Estilo importado 12"/>
    <w:rsid w:val="00CB1679"/>
    <w:pPr>
      <w:numPr>
        <w:numId w:val="35"/>
      </w:numPr>
    </w:pPr>
  </w:style>
  <w:style w:type="numbering" w:customStyle="1" w:styleId="Estiloimportado13">
    <w:name w:val="Estilo importado 13"/>
    <w:rsid w:val="00CB1679"/>
    <w:pPr>
      <w:numPr>
        <w:numId w:val="36"/>
      </w:numPr>
    </w:pPr>
  </w:style>
  <w:style w:type="numbering" w:customStyle="1" w:styleId="Estiloimportado14">
    <w:name w:val="Estilo importado 14"/>
    <w:rsid w:val="00CB1679"/>
    <w:pPr>
      <w:numPr>
        <w:numId w:val="37"/>
      </w:numPr>
    </w:pPr>
  </w:style>
  <w:style w:type="numbering" w:customStyle="1" w:styleId="Estiloimportado15">
    <w:name w:val="Estilo importado 15"/>
    <w:rsid w:val="00CB1679"/>
    <w:pPr>
      <w:numPr>
        <w:numId w:val="38"/>
      </w:numPr>
    </w:pPr>
  </w:style>
  <w:style w:type="numbering" w:customStyle="1" w:styleId="Estiloimportado16">
    <w:name w:val="Estilo importado 16"/>
    <w:rsid w:val="00CB1679"/>
    <w:pPr>
      <w:numPr>
        <w:numId w:val="39"/>
      </w:numPr>
    </w:pPr>
  </w:style>
  <w:style w:type="numbering" w:customStyle="1" w:styleId="Estiloimportado17">
    <w:name w:val="Estilo importado 17"/>
    <w:rsid w:val="00CB1679"/>
    <w:pPr>
      <w:numPr>
        <w:numId w:val="40"/>
      </w:numPr>
    </w:pPr>
  </w:style>
  <w:style w:type="numbering" w:customStyle="1" w:styleId="Estiloimportado18">
    <w:name w:val="Estilo importado 18"/>
    <w:rsid w:val="00CB1679"/>
    <w:pPr>
      <w:numPr>
        <w:numId w:val="41"/>
      </w:numPr>
    </w:pPr>
  </w:style>
  <w:style w:type="numbering" w:customStyle="1" w:styleId="Estiloimportado19">
    <w:name w:val="Estilo importado 19"/>
    <w:rsid w:val="00CB1679"/>
    <w:pPr>
      <w:numPr>
        <w:numId w:val="42"/>
      </w:numPr>
    </w:pPr>
  </w:style>
  <w:style w:type="numbering" w:customStyle="1" w:styleId="Estiloimportado20">
    <w:name w:val="Estilo importado 20"/>
    <w:rsid w:val="00CB1679"/>
    <w:pPr>
      <w:numPr>
        <w:numId w:val="43"/>
      </w:numPr>
    </w:pPr>
  </w:style>
  <w:style w:type="numbering" w:customStyle="1" w:styleId="Estiloimportado21">
    <w:name w:val="Estilo importado 21"/>
    <w:rsid w:val="00CB1679"/>
    <w:pPr>
      <w:numPr>
        <w:numId w:val="44"/>
      </w:numPr>
    </w:pPr>
  </w:style>
  <w:style w:type="numbering" w:customStyle="1" w:styleId="Estiloimportado22">
    <w:name w:val="Estilo importado 22"/>
    <w:rsid w:val="00CB1679"/>
    <w:pPr>
      <w:numPr>
        <w:numId w:val="45"/>
      </w:numPr>
    </w:pPr>
  </w:style>
  <w:style w:type="numbering" w:customStyle="1" w:styleId="Estiloimportado23">
    <w:name w:val="Estilo importado 23"/>
    <w:rsid w:val="00CB1679"/>
    <w:pPr>
      <w:numPr>
        <w:numId w:val="46"/>
      </w:numPr>
    </w:pPr>
  </w:style>
  <w:style w:type="numbering" w:customStyle="1" w:styleId="Estiloimportado24">
    <w:name w:val="Estilo importado 24"/>
    <w:rsid w:val="00CB1679"/>
    <w:pPr>
      <w:numPr>
        <w:numId w:val="47"/>
      </w:numPr>
    </w:pPr>
  </w:style>
  <w:style w:type="numbering" w:customStyle="1" w:styleId="Estiloimportado25">
    <w:name w:val="Estilo importado 25"/>
    <w:rsid w:val="00CB1679"/>
    <w:pPr>
      <w:numPr>
        <w:numId w:val="48"/>
      </w:numPr>
    </w:pPr>
  </w:style>
  <w:style w:type="numbering" w:customStyle="1" w:styleId="Estiloimportado26">
    <w:name w:val="Estilo importado 26"/>
    <w:rsid w:val="00CB1679"/>
    <w:pPr>
      <w:numPr>
        <w:numId w:val="49"/>
      </w:numPr>
    </w:pPr>
  </w:style>
  <w:style w:type="numbering" w:customStyle="1" w:styleId="Estiloimportado27">
    <w:name w:val="Estilo importado 27"/>
    <w:rsid w:val="00CB1679"/>
    <w:pPr>
      <w:numPr>
        <w:numId w:val="50"/>
      </w:numPr>
    </w:pPr>
  </w:style>
  <w:style w:type="numbering" w:customStyle="1" w:styleId="Estiloimportado28">
    <w:name w:val="Estilo importado 28"/>
    <w:rsid w:val="00CB1679"/>
    <w:pPr>
      <w:numPr>
        <w:numId w:val="51"/>
      </w:numPr>
    </w:pPr>
  </w:style>
  <w:style w:type="numbering" w:customStyle="1" w:styleId="Estiloimportado29">
    <w:name w:val="Estilo importado 29"/>
    <w:rsid w:val="00CB1679"/>
    <w:pPr>
      <w:numPr>
        <w:numId w:val="52"/>
      </w:numPr>
    </w:pPr>
  </w:style>
  <w:style w:type="numbering" w:customStyle="1" w:styleId="Estiloimportado30">
    <w:name w:val="Estilo importado 30"/>
    <w:rsid w:val="00CB1679"/>
    <w:pPr>
      <w:numPr>
        <w:numId w:val="53"/>
      </w:numPr>
    </w:pPr>
  </w:style>
  <w:style w:type="numbering" w:customStyle="1" w:styleId="Estiloimportado31">
    <w:name w:val="Estilo importado 31"/>
    <w:rsid w:val="00CB1679"/>
    <w:pPr>
      <w:numPr>
        <w:numId w:val="54"/>
      </w:numPr>
    </w:pPr>
  </w:style>
  <w:style w:type="numbering" w:customStyle="1" w:styleId="Estiloimportado32">
    <w:name w:val="Estilo importado 32"/>
    <w:rsid w:val="00CB1679"/>
    <w:pPr>
      <w:numPr>
        <w:numId w:val="55"/>
      </w:numPr>
    </w:pPr>
  </w:style>
  <w:style w:type="numbering" w:customStyle="1" w:styleId="Estiloimportado33">
    <w:name w:val="Estilo importado 33"/>
    <w:rsid w:val="00CB1679"/>
    <w:pPr>
      <w:numPr>
        <w:numId w:val="56"/>
      </w:numPr>
    </w:pPr>
  </w:style>
  <w:style w:type="numbering" w:customStyle="1" w:styleId="Estiloimportado34">
    <w:name w:val="Estilo importado 34"/>
    <w:rsid w:val="00CB1679"/>
    <w:pPr>
      <w:numPr>
        <w:numId w:val="57"/>
      </w:numPr>
    </w:pPr>
  </w:style>
  <w:style w:type="numbering" w:customStyle="1" w:styleId="Estiloimportado35">
    <w:name w:val="Estilo importado 35"/>
    <w:rsid w:val="00CB1679"/>
    <w:pPr>
      <w:numPr>
        <w:numId w:val="58"/>
      </w:numPr>
    </w:pPr>
  </w:style>
  <w:style w:type="numbering" w:customStyle="1" w:styleId="Estiloimportado36">
    <w:name w:val="Estilo importado 36"/>
    <w:rsid w:val="00CB1679"/>
    <w:pPr>
      <w:numPr>
        <w:numId w:val="59"/>
      </w:numPr>
    </w:pPr>
  </w:style>
  <w:style w:type="numbering" w:customStyle="1" w:styleId="Estiloimportado37">
    <w:name w:val="Estilo importado 37"/>
    <w:rsid w:val="00CB1679"/>
    <w:pPr>
      <w:numPr>
        <w:numId w:val="60"/>
      </w:numPr>
    </w:pPr>
  </w:style>
  <w:style w:type="numbering" w:customStyle="1" w:styleId="Estiloimportado38">
    <w:name w:val="Estilo importado 38"/>
    <w:rsid w:val="00CB1679"/>
    <w:pPr>
      <w:numPr>
        <w:numId w:val="61"/>
      </w:numPr>
    </w:pPr>
  </w:style>
  <w:style w:type="numbering" w:customStyle="1" w:styleId="Estiloimportado39">
    <w:name w:val="Estilo importado 39"/>
    <w:rsid w:val="00CB1679"/>
    <w:pPr>
      <w:numPr>
        <w:numId w:val="62"/>
      </w:numPr>
    </w:pPr>
  </w:style>
  <w:style w:type="numbering" w:customStyle="1" w:styleId="Estiloimportado40">
    <w:name w:val="Estilo importado 40"/>
    <w:rsid w:val="00CB1679"/>
    <w:pPr>
      <w:numPr>
        <w:numId w:val="63"/>
      </w:numPr>
    </w:pPr>
  </w:style>
  <w:style w:type="numbering" w:customStyle="1" w:styleId="Estiloimportado41">
    <w:name w:val="Estilo importado 41"/>
    <w:rsid w:val="00CB1679"/>
    <w:pPr>
      <w:numPr>
        <w:numId w:val="64"/>
      </w:numPr>
    </w:pPr>
  </w:style>
  <w:style w:type="numbering" w:customStyle="1" w:styleId="Estiloimportado42">
    <w:name w:val="Estilo importado 42"/>
    <w:rsid w:val="00CB1679"/>
    <w:pPr>
      <w:numPr>
        <w:numId w:val="65"/>
      </w:numPr>
    </w:pPr>
  </w:style>
  <w:style w:type="numbering" w:customStyle="1" w:styleId="Estiloimportado43">
    <w:name w:val="Estilo importado 43"/>
    <w:rsid w:val="00CB1679"/>
    <w:pPr>
      <w:numPr>
        <w:numId w:val="66"/>
      </w:numPr>
    </w:pPr>
  </w:style>
  <w:style w:type="numbering" w:customStyle="1" w:styleId="Estiloimportado44">
    <w:name w:val="Estilo importado 44"/>
    <w:rsid w:val="00CB1679"/>
    <w:pPr>
      <w:numPr>
        <w:numId w:val="67"/>
      </w:numPr>
    </w:pPr>
  </w:style>
  <w:style w:type="numbering" w:customStyle="1" w:styleId="Estiloimportado45">
    <w:name w:val="Estilo importado 45"/>
    <w:rsid w:val="00CB1679"/>
    <w:pPr>
      <w:numPr>
        <w:numId w:val="68"/>
      </w:numPr>
    </w:pPr>
  </w:style>
  <w:style w:type="numbering" w:customStyle="1" w:styleId="Estiloimportado46">
    <w:name w:val="Estilo importado 46"/>
    <w:rsid w:val="00CB1679"/>
    <w:pPr>
      <w:numPr>
        <w:numId w:val="69"/>
      </w:numPr>
    </w:pPr>
  </w:style>
  <w:style w:type="numbering" w:customStyle="1" w:styleId="Estiloimportado47">
    <w:name w:val="Estilo importado 47"/>
    <w:rsid w:val="00CB1679"/>
    <w:pPr>
      <w:numPr>
        <w:numId w:val="70"/>
      </w:numPr>
    </w:pPr>
  </w:style>
  <w:style w:type="numbering" w:customStyle="1" w:styleId="Estiloimportado48">
    <w:name w:val="Estilo importado 48"/>
    <w:rsid w:val="00CB1679"/>
    <w:pPr>
      <w:numPr>
        <w:numId w:val="71"/>
      </w:numPr>
    </w:pPr>
  </w:style>
  <w:style w:type="numbering" w:customStyle="1" w:styleId="Estiloimportado49">
    <w:name w:val="Estilo importado 49"/>
    <w:rsid w:val="00CB1679"/>
    <w:pPr>
      <w:numPr>
        <w:numId w:val="72"/>
      </w:numPr>
    </w:pPr>
  </w:style>
  <w:style w:type="numbering" w:customStyle="1" w:styleId="Estiloimportado50">
    <w:name w:val="Estilo importado 50"/>
    <w:rsid w:val="00CB1679"/>
    <w:pPr>
      <w:numPr>
        <w:numId w:val="73"/>
      </w:numPr>
    </w:pPr>
  </w:style>
  <w:style w:type="numbering" w:customStyle="1" w:styleId="Estiloimportado51">
    <w:name w:val="Estilo importado 51"/>
    <w:rsid w:val="00CB1679"/>
    <w:pPr>
      <w:numPr>
        <w:numId w:val="74"/>
      </w:numPr>
    </w:pPr>
  </w:style>
  <w:style w:type="numbering" w:customStyle="1" w:styleId="Estiloimportado52">
    <w:name w:val="Estilo importado 52"/>
    <w:rsid w:val="00CB1679"/>
    <w:pPr>
      <w:numPr>
        <w:numId w:val="75"/>
      </w:numPr>
    </w:pPr>
  </w:style>
  <w:style w:type="numbering" w:customStyle="1" w:styleId="Estiloimportado53">
    <w:name w:val="Estilo importado 53"/>
    <w:rsid w:val="00CB1679"/>
    <w:pPr>
      <w:numPr>
        <w:numId w:val="76"/>
      </w:numPr>
    </w:pPr>
  </w:style>
  <w:style w:type="numbering" w:customStyle="1" w:styleId="Estiloimportado54">
    <w:name w:val="Estilo importado 54"/>
    <w:rsid w:val="00CB1679"/>
    <w:pPr>
      <w:numPr>
        <w:numId w:val="77"/>
      </w:numPr>
    </w:pPr>
  </w:style>
  <w:style w:type="paragraph" w:customStyle="1" w:styleId="Pa12">
    <w:name w:val="Pa12"/>
    <w:basedOn w:val="Default"/>
    <w:next w:val="Default"/>
    <w:uiPriority w:val="99"/>
    <w:rsid w:val="00CB1679"/>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CB16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secretariasenado.gov.co/senado/basedoc/constitucion_politica_1991_pr002.html" TargetMode="External"/><Relationship Id="rId12" Type="http://schemas.openxmlformats.org/officeDocument/2006/relationships/hyperlink" Target="http://www.secretariasenado.gov.co/senado/basedoc/constitucion_politica_1991_pr002.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ecretariasenado.gov.co/senado/basedoc/codigo_contencioso_administrativo.html" TargetMode="External"/><Relationship Id="rId9" Type="http://schemas.openxmlformats.org/officeDocument/2006/relationships/hyperlink" Target="http://www.secretariasenado.gov.co/senado/basedoc/ley_1437_2011.html" TargetMode="External"/><Relationship Id="rId10" Type="http://schemas.openxmlformats.org/officeDocument/2006/relationships/hyperlink" Target="http://www.secretariasenado.gov.co/senado/basedoc/constitucion_politica_1991_pr002.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ane.gov.co/index.php/estadisticas-por-tema/seguridad-y-defensa/encuesta-de-convivencia-y-seguridad-ciudadana-ecsc" TargetMode="External"/><Relationship Id="rId2" Type="http://schemas.openxmlformats.org/officeDocument/2006/relationships/hyperlink" Target="https://www.dane.gov.co/index.php/estadisticas-por-tema/seguridad-y-defensa/encuesta-de-convivencia-y-seguridad-ciudadana-ecs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ED05DD4-A9FA-3241-A690-12D4132A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82</Pages>
  <Words>32422</Words>
  <Characters>178326</Characters>
  <Application>Microsoft Macintosh Word</Application>
  <DocSecurity>0</DocSecurity>
  <Lines>1486</Lines>
  <Paragraphs>420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210328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15</cp:revision>
  <dcterms:created xsi:type="dcterms:W3CDTF">2021-08-31T21:43:00Z</dcterms:created>
  <dcterms:modified xsi:type="dcterms:W3CDTF">2021-11-03T14:37:00Z</dcterms:modified>
</cp:coreProperties>
</file>